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DF145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工程量清单</w:t>
      </w:r>
      <w:r>
        <w:rPr>
          <w:rFonts w:hint="eastAsia" w:ascii="黑体" w:eastAsia="黑体"/>
          <w:sz w:val="44"/>
          <w:szCs w:val="44"/>
          <w:lang w:val="en-US" w:eastAsia="zh-CN"/>
        </w:rPr>
        <w:t>编制</w:t>
      </w:r>
      <w:r>
        <w:rPr>
          <w:rFonts w:hint="eastAsia" w:ascii="黑体" w:eastAsia="黑体"/>
          <w:sz w:val="44"/>
          <w:szCs w:val="44"/>
        </w:rPr>
        <w:t>说明</w:t>
      </w:r>
    </w:p>
    <w:p w14:paraId="029319A9">
      <w:pPr>
        <w:jc w:val="center"/>
        <w:rPr>
          <w:rFonts w:hint="eastAsia" w:ascii="黑体" w:eastAsia="黑体"/>
          <w:sz w:val="44"/>
          <w:szCs w:val="44"/>
        </w:rPr>
      </w:pPr>
    </w:p>
    <w:p w14:paraId="36D0F16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工程名称：立新村新中南路雨污分流改造工程                          </w:t>
      </w:r>
    </w:p>
    <w:tbl>
      <w:tblPr>
        <w:tblStyle w:val="4"/>
        <w:tblW w:w="9318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 w14:paraId="56ED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1" w:hRule="atLeast"/>
        </w:trPr>
        <w:tc>
          <w:tcPr>
            <w:tcW w:w="9318" w:type="dxa"/>
            <w:noWrap w:val="0"/>
            <w:vAlign w:val="top"/>
          </w:tcPr>
          <w:p w14:paraId="46849B94">
            <w:pPr>
              <w:spacing w:line="360" w:lineRule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一、相关规费税金取费标准：</w:t>
            </w:r>
          </w:p>
          <w:p w14:paraId="1C0288A8"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1、管网改造工程：按照市政工程执行。</w:t>
            </w:r>
          </w:p>
          <w:p w14:paraId="122939A4">
            <w:p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2、各专业工程相关取费费率如下：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2"/>
              <w:gridCol w:w="1063"/>
              <w:gridCol w:w="1048"/>
              <w:gridCol w:w="820"/>
              <w:gridCol w:w="1385"/>
              <w:gridCol w:w="1520"/>
              <w:gridCol w:w="1828"/>
            </w:tblGrid>
            <w:tr w14:paraId="009466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6" w:hRule="atLeast"/>
              </w:trPr>
              <w:tc>
                <w:tcPr>
                  <w:tcW w:w="1312" w:type="dxa"/>
                  <w:vMerge w:val="restart"/>
                </w:tcPr>
                <w:p w14:paraId="191AEE83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工程项目</w:t>
                  </w:r>
                </w:p>
              </w:tc>
              <w:tc>
                <w:tcPr>
                  <w:tcW w:w="1063" w:type="dxa"/>
                  <w:vMerge w:val="restart"/>
                </w:tcPr>
                <w:p w14:paraId="3335C499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社会保障费率（%）</w:t>
                  </w:r>
                </w:p>
              </w:tc>
              <w:tc>
                <w:tcPr>
                  <w:tcW w:w="1048" w:type="dxa"/>
                  <w:vMerge w:val="restart"/>
                </w:tcPr>
                <w:p w14:paraId="7EAEBDFD">
                  <w:pPr>
                    <w:spacing w:line="360" w:lineRule="auto"/>
                    <w:jc w:val="center"/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公积金费率（%）</w:t>
                  </w:r>
                </w:p>
              </w:tc>
              <w:tc>
                <w:tcPr>
                  <w:tcW w:w="820" w:type="dxa"/>
                  <w:vMerge w:val="restart"/>
                </w:tcPr>
                <w:p w14:paraId="2BE6DC95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税金（%）</w:t>
                  </w:r>
                </w:p>
              </w:tc>
              <w:tc>
                <w:tcPr>
                  <w:tcW w:w="2905" w:type="dxa"/>
                  <w:gridSpan w:val="2"/>
                </w:tcPr>
                <w:p w14:paraId="77A940B2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现场安全文明施工措施费率</w:t>
                  </w:r>
                </w:p>
              </w:tc>
              <w:tc>
                <w:tcPr>
                  <w:tcW w:w="1828" w:type="dxa"/>
                  <w:vMerge w:val="restart"/>
                </w:tcPr>
                <w:p w14:paraId="63859B00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建筑工人实名制费用（%）</w:t>
                  </w:r>
                </w:p>
              </w:tc>
            </w:tr>
            <w:tr w14:paraId="26BD11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12" w:type="dxa"/>
                  <w:vMerge w:val="continue"/>
                </w:tcPr>
                <w:p w14:paraId="168C9EE9">
                  <w:pPr>
                    <w:spacing w:line="360" w:lineRule="auto"/>
                    <w:jc w:val="center"/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63" w:type="dxa"/>
                  <w:vMerge w:val="continue"/>
                </w:tcPr>
                <w:p w14:paraId="47ED64AE">
                  <w:pPr>
                    <w:spacing w:line="360" w:lineRule="auto"/>
                    <w:jc w:val="center"/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48" w:type="dxa"/>
                  <w:vMerge w:val="continue"/>
                </w:tcPr>
                <w:p w14:paraId="73D7252C">
                  <w:pPr>
                    <w:spacing w:line="360" w:lineRule="auto"/>
                    <w:jc w:val="center"/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20" w:type="dxa"/>
                  <w:vMerge w:val="continue"/>
                </w:tcPr>
                <w:p w14:paraId="291358A0">
                  <w:pPr>
                    <w:spacing w:line="360" w:lineRule="auto"/>
                    <w:jc w:val="center"/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85" w:type="dxa"/>
                </w:tcPr>
                <w:p w14:paraId="3C0DD957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基本费率（%）</w:t>
                  </w:r>
                </w:p>
              </w:tc>
              <w:tc>
                <w:tcPr>
                  <w:tcW w:w="1520" w:type="dxa"/>
                </w:tcPr>
                <w:p w14:paraId="0D600AFC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扬尘污染防治增加费（%）</w:t>
                  </w:r>
                </w:p>
              </w:tc>
              <w:tc>
                <w:tcPr>
                  <w:tcW w:w="1828" w:type="dxa"/>
                  <w:vMerge w:val="continue"/>
                </w:tcPr>
                <w:p w14:paraId="1099DE5C">
                  <w:pPr>
                    <w:spacing w:line="360" w:lineRule="auto"/>
                    <w:jc w:val="center"/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7788BF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5" w:hRule="atLeast"/>
              </w:trPr>
              <w:tc>
                <w:tcPr>
                  <w:tcW w:w="1312" w:type="dxa"/>
                </w:tcPr>
                <w:p w14:paraId="2513F07C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市政工程</w:t>
                  </w:r>
                </w:p>
              </w:tc>
              <w:tc>
                <w:tcPr>
                  <w:tcW w:w="1063" w:type="dxa"/>
                </w:tcPr>
                <w:p w14:paraId="4DEEC9DD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2.0</w:t>
                  </w:r>
                </w:p>
              </w:tc>
              <w:tc>
                <w:tcPr>
                  <w:tcW w:w="1048" w:type="dxa"/>
                </w:tcPr>
                <w:p w14:paraId="24C4CB8B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0.34</w:t>
                  </w:r>
                </w:p>
              </w:tc>
              <w:tc>
                <w:tcPr>
                  <w:tcW w:w="820" w:type="dxa"/>
                </w:tcPr>
                <w:p w14:paraId="7B6CA53B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385" w:type="dxa"/>
                </w:tcPr>
                <w:p w14:paraId="5D0A905F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1.5</w:t>
                  </w:r>
                </w:p>
              </w:tc>
              <w:tc>
                <w:tcPr>
                  <w:tcW w:w="1520" w:type="dxa"/>
                </w:tcPr>
                <w:p w14:paraId="4094B1FE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0.31</w:t>
                  </w:r>
                </w:p>
              </w:tc>
              <w:tc>
                <w:tcPr>
                  <w:tcW w:w="1828" w:type="dxa"/>
                </w:tcPr>
                <w:p w14:paraId="26ECB61D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0.03</w:t>
                  </w:r>
                </w:p>
              </w:tc>
            </w:tr>
            <w:tr w14:paraId="569CCE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5" w:hRule="atLeast"/>
              </w:trPr>
              <w:tc>
                <w:tcPr>
                  <w:tcW w:w="1312" w:type="dxa"/>
                </w:tcPr>
                <w:p w14:paraId="03F1DF5D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安装工程</w:t>
                  </w:r>
                </w:p>
              </w:tc>
              <w:tc>
                <w:tcPr>
                  <w:tcW w:w="1063" w:type="dxa"/>
                </w:tcPr>
                <w:p w14:paraId="3E03A088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2.4</w:t>
                  </w:r>
                </w:p>
              </w:tc>
              <w:tc>
                <w:tcPr>
                  <w:tcW w:w="1048" w:type="dxa"/>
                </w:tcPr>
                <w:p w14:paraId="4F0136B6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0.42</w:t>
                  </w:r>
                </w:p>
              </w:tc>
              <w:tc>
                <w:tcPr>
                  <w:tcW w:w="820" w:type="dxa"/>
                </w:tcPr>
                <w:p w14:paraId="4800EC48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385" w:type="dxa"/>
                </w:tcPr>
                <w:p w14:paraId="3E78F144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1.5</w:t>
                  </w:r>
                </w:p>
              </w:tc>
              <w:tc>
                <w:tcPr>
                  <w:tcW w:w="1520" w:type="dxa"/>
                </w:tcPr>
                <w:p w14:paraId="77FB7DCA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0.21</w:t>
                  </w:r>
                </w:p>
              </w:tc>
              <w:tc>
                <w:tcPr>
                  <w:tcW w:w="1828" w:type="dxa"/>
                </w:tcPr>
                <w:p w14:paraId="4694450A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0.03</w:t>
                  </w:r>
                </w:p>
              </w:tc>
            </w:tr>
            <w:tr w14:paraId="3DF156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805" w:hRule="atLeast"/>
              </w:trPr>
              <w:tc>
                <w:tcPr>
                  <w:tcW w:w="1312" w:type="dxa"/>
                </w:tcPr>
                <w:p w14:paraId="75AFBD8A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大型土石方工程</w:t>
                  </w:r>
                </w:p>
              </w:tc>
              <w:tc>
                <w:tcPr>
                  <w:tcW w:w="1063" w:type="dxa"/>
                </w:tcPr>
                <w:p w14:paraId="1C8B3FFC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1.3</w:t>
                  </w:r>
                </w:p>
              </w:tc>
              <w:tc>
                <w:tcPr>
                  <w:tcW w:w="1048" w:type="dxa"/>
                </w:tcPr>
                <w:p w14:paraId="7120745D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0.24</w:t>
                  </w:r>
                </w:p>
              </w:tc>
              <w:tc>
                <w:tcPr>
                  <w:tcW w:w="820" w:type="dxa"/>
                </w:tcPr>
                <w:p w14:paraId="2A201E09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1385" w:type="dxa"/>
                </w:tcPr>
                <w:p w14:paraId="57883CCA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1.5</w:t>
                  </w:r>
                </w:p>
              </w:tc>
              <w:tc>
                <w:tcPr>
                  <w:tcW w:w="1520" w:type="dxa"/>
                </w:tcPr>
                <w:p w14:paraId="634291C8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0.42</w:t>
                  </w:r>
                </w:p>
              </w:tc>
              <w:tc>
                <w:tcPr>
                  <w:tcW w:w="1828" w:type="dxa"/>
                </w:tcPr>
                <w:p w14:paraId="7AFCDFD0">
                  <w:pPr>
                    <w:spacing w:line="360" w:lineRule="auto"/>
                    <w:jc w:val="center"/>
                    <w:rPr>
                      <w:rFonts w:hint="default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vertAlign w:val="baseline"/>
                      <w:lang w:val="en-US" w:eastAsia="zh-CN"/>
                    </w:rPr>
                    <w:t>0.02</w:t>
                  </w:r>
                </w:p>
              </w:tc>
            </w:tr>
          </w:tbl>
          <w:p w14:paraId="31D4EDAF">
            <w:pPr>
              <w:spacing w:line="360" w:lineRule="auto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二、相关专业编制说明：</w:t>
            </w:r>
          </w:p>
          <w:p w14:paraId="44ADD896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1.考虑原路面破除费用，按平方计取，投标人综合考虑；</w:t>
            </w:r>
          </w:p>
          <w:p w14:paraId="7C8097A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2.道路下雨污水管道考虑采用</w:t>
            </w:r>
            <w:r>
              <w:rPr>
                <w:rFonts w:hint="eastAsia"/>
                <w:sz w:val="24"/>
                <w:lang w:val="en-US" w:eastAsia="zh-CN"/>
              </w:rPr>
              <w:t>中粗砂</w:t>
            </w:r>
            <w:r>
              <w:rPr>
                <w:rFonts w:hint="eastAsia"/>
                <w:sz w:val="24"/>
              </w:rPr>
              <w:t>回填、素土回填，结算按实际工程量调整；</w:t>
            </w:r>
          </w:p>
          <w:p w14:paraId="19D5185B"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3.余渣、余土外运投标人自行考虑；</w:t>
            </w:r>
          </w:p>
          <w:p w14:paraId="6A49B28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3.考虑增加</w:t>
            </w:r>
            <w:r>
              <w:rPr>
                <w:rFonts w:hint="eastAsia"/>
                <w:sz w:val="24"/>
                <w:lang w:val="en-US" w:eastAsia="zh-CN"/>
              </w:rPr>
              <w:t>修复的</w:t>
            </w:r>
            <w:r>
              <w:rPr>
                <w:rFonts w:hint="eastAsia"/>
                <w:sz w:val="24"/>
              </w:rPr>
              <w:t>雨水井</w:t>
            </w:r>
            <w:r>
              <w:rPr>
                <w:rFonts w:hint="eastAsia"/>
                <w:sz w:val="24"/>
                <w:lang w:val="en-US" w:eastAsia="zh-CN"/>
              </w:rPr>
              <w:t>及雨水篦子</w:t>
            </w:r>
            <w:r>
              <w:rPr>
                <w:rFonts w:hint="eastAsia"/>
                <w:sz w:val="24"/>
              </w:rPr>
              <w:t>；</w:t>
            </w:r>
          </w:p>
          <w:p w14:paraId="59F8A5C1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  <w:lang w:val="en-US" w:eastAsia="zh-CN"/>
              </w:rPr>
              <w:t>污水泵控制箱位置未定，安装工程中电缆、配管工程量均为暂估，</w:t>
            </w:r>
            <w:r>
              <w:rPr>
                <w:rFonts w:hint="eastAsia"/>
                <w:sz w:val="24"/>
              </w:rPr>
              <w:t>结算按实际工程量调整；</w:t>
            </w:r>
          </w:p>
          <w:p w14:paraId="76EBD76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.考虑沟槽排水费用，考虑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0台班污水泵100费用，结算按实际工程量调整；</w:t>
            </w:r>
          </w:p>
          <w:p w14:paraId="74A8F408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.考虑钢板桩支护费用，结算按实际工程量调整；</w:t>
            </w:r>
          </w:p>
          <w:p w14:paraId="6AE7A63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7.</w:t>
            </w:r>
            <w:r>
              <w:rPr>
                <w:rFonts w:hint="eastAsia"/>
                <w:sz w:val="24"/>
              </w:rPr>
              <w:t>预留金按</w:t>
            </w:r>
            <w:r>
              <w:rPr>
                <w:rFonts w:hint="eastAsia"/>
                <w:sz w:val="24"/>
                <w:lang w:val="en-US" w:eastAsia="zh-CN"/>
              </w:rPr>
              <w:t>26</w:t>
            </w:r>
            <w:r>
              <w:rPr>
                <w:rFonts w:hint="eastAsia"/>
                <w:sz w:val="24"/>
              </w:rPr>
              <w:t>万元计取；</w:t>
            </w:r>
          </w:p>
        </w:tc>
      </w:tr>
    </w:tbl>
    <w:p w14:paraId="5AE863C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47D89"/>
    <w:rsid w:val="00413C42"/>
    <w:rsid w:val="004D224E"/>
    <w:rsid w:val="00780329"/>
    <w:rsid w:val="00B22BF2"/>
    <w:rsid w:val="00C333F4"/>
    <w:rsid w:val="00F94CCB"/>
    <w:rsid w:val="024273E5"/>
    <w:rsid w:val="03E5503B"/>
    <w:rsid w:val="048653C5"/>
    <w:rsid w:val="0E3C7F4D"/>
    <w:rsid w:val="0F1A6863"/>
    <w:rsid w:val="0FAA2D13"/>
    <w:rsid w:val="13447D89"/>
    <w:rsid w:val="169B1DC3"/>
    <w:rsid w:val="17472F48"/>
    <w:rsid w:val="17F402B8"/>
    <w:rsid w:val="19956FF2"/>
    <w:rsid w:val="1C6F5640"/>
    <w:rsid w:val="1D383FD6"/>
    <w:rsid w:val="1DFC21F6"/>
    <w:rsid w:val="2110329F"/>
    <w:rsid w:val="219365FF"/>
    <w:rsid w:val="229909F6"/>
    <w:rsid w:val="23294AEC"/>
    <w:rsid w:val="30F720DE"/>
    <w:rsid w:val="323F0677"/>
    <w:rsid w:val="3CF248ED"/>
    <w:rsid w:val="3E4C6C9C"/>
    <w:rsid w:val="4873378B"/>
    <w:rsid w:val="4BBA3C84"/>
    <w:rsid w:val="4BCA0873"/>
    <w:rsid w:val="4C7F5A9B"/>
    <w:rsid w:val="4D3F6FBF"/>
    <w:rsid w:val="509627BE"/>
    <w:rsid w:val="59087E09"/>
    <w:rsid w:val="5A41059A"/>
    <w:rsid w:val="5A7A7341"/>
    <w:rsid w:val="5C9E26A8"/>
    <w:rsid w:val="5F625D9D"/>
    <w:rsid w:val="618760F5"/>
    <w:rsid w:val="653B4484"/>
    <w:rsid w:val="66195D1F"/>
    <w:rsid w:val="6B6F2D5F"/>
    <w:rsid w:val="73235D2E"/>
    <w:rsid w:val="73CA1BF4"/>
    <w:rsid w:val="751A5150"/>
    <w:rsid w:val="7870298D"/>
    <w:rsid w:val="78897766"/>
    <w:rsid w:val="7D0F1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007c88b06ee5bedf9876b77f3021b29b\&#24037;&#31243;&#37327;&#28165;&#21333;&#25253;&#20215;&#35828;&#26126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工程量清单报价说明.doc</Template>
  <Pages>1</Pages>
  <Words>376</Words>
  <Characters>403</Characters>
  <Lines>3</Lines>
  <Paragraphs>1</Paragraphs>
  <TotalTime>0</TotalTime>
  <ScaleCrop>false</ScaleCrop>
  <LinksUpToDate>false</LinksUpToDate>
  <CharactersWithSpaces>429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2024-12-26T07:52:00Z</dcterms:created>
  <dc:creator>春空千鹤若幻梦、</dc:creator>
  <cp:lastModifiedBy>春空千鹤若幻梦、</cp:lastModifiedBy>
  <dcterms:modified xsi:type="dcterms:W3CDTF">2024-12-27T11:58:05Z</dcterms:modified>
  <dc:title>工程量清单报价说明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FA346D49C8734558BBF728C0A353E9E7_11</vt:lpwstr>
  </property>
  <property fmtid="{D5CDD505-2E9C-101B-9397-08002B2CF9AE}" pid="3" name="KSOTemplateDocerSaveRecord">
    <vt:lpwstr>eyJoZGlkIjoiOTlmNWRlOWJhN2U1NzhiY2VjMTE3NDY1NmJmNTcyZWIiLCJ1c2VySWQiOiIzODkwMjMyMDkifQ==</vt:lpwstr>
  </property>
  <property fmtid="{D5CDD505-2E9C-101B-9397-08002B2CF9AE}" pid="4" name="KSOProductBuildVer">
    <vt:lpwstr>2052-12.1.0.19302</vt:lpwstr>
  </property>
</Properties>
</file>