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06A49">
      <w:pPr>
        <w:pStyle w:val="356"/>
        <w:ind w:firstLine="0"/>
        <w:rPr>
          <w:rFonts w:hint="eastAsia" w:eastAsia="黑体"/>
          <w:b/>
          <w:bCs/>
          <w:color w:val="000000"/>
          <w:sz w:val="84"/>
          <w:highlight w:val="none"/>
        </w:rPr>
      </w:pPr>
    </w:p>
    <w:p w14:paraId="52E11248">
      <w:pPr>
        <w:adjustRightInd w:val="0"/>
        <w:spacing w:before="120" w:after="120" w:line="360" w:lineRule="auto"/>
        <w:jc w:val="center"/>
        <w:textAlignment w:val="baseline"/>
        <w:rPr>
          <w:rFonts w:hint="eastAsia" w:ascii="Arial" w:hAnsi="Arial" w:eastAsia="黑体"/>
          <w:b/>
          <w:bCs/>
          <w:color w:val="auto"/>
          <w:kern w:val="0"/>
          <w:sz w:val="84"/>
          <w:szCs w:val="24"/>
          <w:highlight w:val="none"/>
        </w:rPr>
      </w:pPr>
      <w:r>
        <w:rPr>
          <w:rFonts w:hint="eastAsia" w:ascii="Arial" w:hAnsi="Arial" w:eastAsia="黑体"/>
          <w:b/>
          <w:bCs/>
          <w:color w:val="auto"/>
          <w:kern w:val="0"/>
          <w:sz w:val="84"/>
          <w:szCs w:val="24"/>
          <w:highlight w:val="none"/>
        </w:rPr>
        <w:t>竞争性磋商文件</w:t>
      </w:r>
    </w:p>
    <w:p w14:paraId="40AD52D7">
      <w:pPr>
        <w:pStyle w:val="356"/>
        <w:ind w:left="0" w:firstLine="0"/>
        <w:jc w:val="center"/>
        <w:rPr>
          <w:rFonts w:hint="eastAsia"/>
          <w:b/>
          <w:bCs/>
          <w:color w:val="000000"/>
          <w:sz w:val="32"/>
          <w:szCs w:val="32"/>
          <w:highlight w:val="none"/>
        </w:rPr>
      </w:pPr>
    </w:p>
    <w:p w14:paraId="60F85F8D">
      <w:pPr>
        <w:pStyle w:val="356"/>
        <w:ind w:left="0" w:firstLine="0"/>
        <w:jc w:val="center"/>
        <w:rPr>
          <w:rFonts w:hint="eastAsia"/>
          <w:b/>
          <w:bCs/>
          <w:color w:val="000000"/>
          <w:sz w:val="32"/>
          <w:szCs w:val="32"/>
          <w:highlight w:val="none"/>
        </w:rPr>
      </w:pPr>
    </w:p>
    <w:p w14:paraId="4EA44A06">
      <w:pPr>
        <w:pStyle w:val="356"/>
        <w:spacing w:line="360" w:lineRule="auto"/>
        <w:ind w:left="0" w:firstLine="0"/>
        <w:jc w:val="center"/>
        <w:rPr>
          <w:rFonts w:hint="eastAsia"/>
          <w:b/>
          <w:bCs/>
          <w:color w:val="000000"/>
          <w:sz w:val="32"/>
          <w:szCs w:val="32"/>
          <w:highlight w:val="none"/>
          <w:lang w:eastAsia="zh-CN"/>
        </w:rPr>
      </w:pPr>
      <w:r>
        <w:rPr>
          <w:rFonts w:hint="eastAsia"/>
          <w:b/>
          <w:bCs/>
          <w:color w:val="000000"/>
          <w:sz w:val="32"/>
          <w:szCs w:val="32"/>
          <w:highlight w:val="none"/>
        </w:rPr>
        <w:t>项目名称：</w:t>
      </w:r>
      <w:r>
        <w:rPr>
          <w:rFonts w:hint="eastAsia"/>
          <w:b/>
          <w:bCs/>
          <w:color w:val="000000"/>
          <w:sz w:val="32"/>
          <w:szCs w:val="32"/>
          <w:highlight w:val="none"/>
          <w:lang w:eastAsia="zh-CN"/>
        </w:rPr>
        <w:t>扬中市西来桥镇垃圾收运市场化运作项目</w:t>
      </w:r>
    </w:p>
    <w:p w14:paraId="1D8F35B0">
      <w:pPr>
        <w:pStyle w:val="356"/>
        <w:spacing w:line="360" w:lineRule="auto"/>
        <w:ind w:left="0" w:firstLine="0"/>
        <w:jc w:val="center"/>
        <w:rPr>
          <w:rFonts w:hint="eastAsia"/>
          <w:b/>
          <w:bCs/>
          <w:color w:val="000000"/>
          <w:sz w:val="32"/>
          <w:szCs w:val="32"/>
          <w:highlight w:val="none"/>
          <w:lang w:eastAsia="zh-CN"/>
        </w:rPr>
      </w:pPr>
      <w:r>
        <w:rPr>
          <w:rFonts w:hint="eastAsia"/>
          <w:b/>
          <w:bCs/>
          <w:color w:val="000000"/>
          <w:sz w:val="32"/>
          <w:szCs w:val="32"/>
          <w:highlight w:val="none"/>
          <w:lang w:eastAsia="zh-CN"/>
        </w:rPr>
        <w:t>服务项目</w:t>
      </w:r>
    </w:p>
    <w:p w14:paraId="438DB3E6">
      <w:pPr>
        <w:spacing w:line="360" w:lineRule="auto"/>
        <w:jc w:val="center"/>
        <w:rPr>
          <w:b/>
          <w:color w:val="000000"/>
          <w:sz w:val="32"/>
          <w:szCs w:val="32"/>
          <w:highlight w:val="none"/>
        </w:rPr>
      </w:pPr>
      <w:r>
        <w:rPr>
          <w:rFonts w:hint="eastAsia"/>
          <w:b/>
          <w:bCs/>
          <w:color w:val="000000"/>
          <w:sz w:val="32"/>
          <w:szCs w:val="32"/>
          <w:highlight w:val="none"/>
        </w:rPr>
        <w:t>项目编号：</w:t>
      </w:r>
      <w:r>
        <w:rPr>
          <w:rFonts w:hint="eastAsia"/>
          <w:b/>
          <w:bCs/>
          <w:color w:val="000000"/>
          <w:sz w:val="32"/>
          <w:szCs w:val="32"/>
          <w:highlight w:val="none"/>
          <w:lang w:eastAsia="zh-CN"/>
        </w:rPr>
        <w:t>JSZC-321182-ZJSK-C2024-0003</w:t>
      </w:r>
    </w:p>
    <w:p w14:paraId="440FDB2E">
      <w:pPr>
        <w:spacing w:line="360" w:lineRule="auto"/>
        <w:jc w:val="center"/>
        <w:rPr>
          <w:rFonts w:hint="eastAsia"/>
          <w:b/>
          <w:color w:val="000000"/>
          <w:sz w:val="32"/>
          <w:szCs w:val="32"/>
          <w:highlight w:val="none"/>
        </w:rPr>
      </w:pPr>
      <w:r>
        <w:rPr>
          <w:rFonts w:hint="eastAsia"/>
          <w:b/>
          <w:color w:val="000000"/>
          <w:sz w:val="32"/>
          <w:szCs w:val="32"/>
          <w:highlight w:val="none"/>
        </w:rPr>
        <w:t>（全流程电子化</w:t>
      </w:r>
      <w:r>
        <w:rPr>
          <w:b/>
          <w:color w:val="000000"/>
          <w:sz w:val="32"/>
          <w:szCs w:val="32"/>
          <w:highlight w:val="none"/>
        </w:rPr>
        <w:t>-</w:t>
      </w:r>
      <w:r>
        <w:rPr>
          <w:rFonts w:hint="eastAsia"/>
          <w:b/>
          <w:color w:val="000000"/>
          <w:sz w:val="32"/>
          <w:szCs w:val="32"/>
          <w:highlight w:val="none"/>
        </w:rPr>
        <w:t>服务类项目，适用苏采云系统）</w:t>
      </w:r>
    </w:p>
    <w:p w14:paraId="2C9FD720">
      <w:pPr>
        <w:pStyle w:val="356"/>
        <w:spacing w:before="0" w:after="0" w:line="360" w:lineRule="auto"/>
        <w:ind w:firstLine="0"/>
        <w:rPr>
          <w:rFonts w:hint="eastAsia" w:ascii="宋体" w:hAnsi="宋体"/>
          <w:color w:val="000000"/>
          <w:sz w:val="32"/>
          <w:szCs w:val="32"/>
          <w:highlight w:val="none"/>
        </w:rPr>
      </w:pPr>
    </w:p>
    <w:p w14:paraId="0130A28D">
      <w:pPr>
        <w:pStyle w:val="356"/>
        <w:spacing w:before="0" w:after="0"/>
        <w:ind w:firstLine="0"/>
        <w:rPr>
          <w:rFonts w:hint="eastAsia" w:ascii="宋体" w:hAnsi="宋体"/>
          <w:color w:val="000000"/>
          <w:sz w:val="32"/>
          <w:szCs w:val="32"/>
          <w:highlight w:val="none"/>
        </w:rPr>
      </w:pPr>
    </w:p>
    <w:p w14:paraId="21874F87">
      <w:pPr>
        <w:pStyle w:val="356"/>
        <w:spacing w:before="0" w:after="0"/>
        <w:ind w:firstLine="0"/>
        <w:rPr>
          <w:rFonts w:hint="eastAsia" w:ascii="宋体" w:hAnsi="宋体"/>
          <w:color w:val="000000"/>
          <w:sz w:val="32"/>
          <w:szCs w:val="32"/>
          <w:highlight w:val="none"/>
        </w:rPr>
      </w:pPr>
    </w:p>
    <w:p w14:paraId="6B7E86CA">
      <w:pPr>
        <w:pStyle w:val="356"/>
        <w:spacing w:before="0" w:after="0"/>
        <w:ind w:firstLine="0"/>
        <w:rPr>
          <w:rFonts w:hint="eastAsia" w:ascii="宋体" w:hAnsi="宋体"/>
          <w:color w:val="000000"/>
          <w:sz w:val="32"/>
          <w:szCs w:val="32"/>
          <w:highlight w:val="none"/>
        </w:rPr>
      </w:pPr>
    </w:p>
    <w:p w14:paraId="4416B2AA">
      <w:pPr>
        <w:pStyle w:val="356"/>
        <w:spacing w:before="0" w:after="0"/>
        <w:ind w:firstLine="0"/>
        <w:rPr>
          <w:rFonts w:hint="eastAsia" w:ascii="宋体" w:hAnsi="宋体"/>
          <w:color w:val="000000"/>
          <w:sz w:val="32"/>
          <w:szCs w:val="32"/>
          <w:highlight w:val="none"/>
        </w:rPr>
      </w:pPr>
    </w:p>
    <w:p w14:paraId="29A9D777">
      <w:pPr>
        <w:spacing w:before="120" w:after="120" w:line="360" w:lineRule="auto"/>
        <w:jc w:val="center"/>
        <w:rPr>
          <w:rFonts w:hint="eastAsia" w:ascii="Arial" w:hAnsi="Arial" w:eastAsia="宋体"/>
          <w:b/>
          <w:bCs/>
          <w:color w:val="000000"/>
          <w:sz w:val="32"/>
          <w:szCs w:val="32"/>
          <w:highlight w:val="none"/>
          <w:lang w:eastAsia="zh-CN"/>
        </w:rPr>
      </w:pPr>
      <w:r>
        <w:rPr>
          <w:rFonts w:hint="eastAsia" w:ascii="Arial" w:hAnsi="Arial"/>
          <w:b/>
          <w:bCs/>
          <w:color w:val="auto"/>
          <w:kern w:val="0"/>
          <w:sz w:val="32"/>
          <w:szCs w:val="24"/>
          <w:highlight w:val="none"/>
        </w:rPr>
        <w:t>采购代理</w:t>
      </w:r>
      <w:r>
        <w:rPr>
          <w:rFonts w:hint="eastAsia" w:ascii="Arial" w:hAnsi="Arial" w:eastAsia="宋体" w:cs="Times New Roman"/>
          <w:b/>
          <w:bCs/>
          <w:color w:val="auto"/>
          <w:kern w:val="0"/>
          <w:sz w:val="32"/>
          <w:szCs w:val="24"/>
          <w:highlight w:val="none"/>
        </w:rPr>
        <w:t>机构</w:t>
      </w:r>
      <w:r>
        <w:rPr>
          <w:rFonts w:hint="eastAsia" w:ascii="Arial" w:hAnsi="Arial" w:eastAsia="宋体" w:cs="Times New Roman"/>
          <w:b/>
          <w:bCs/>
          <w:color w:val="auto"/>
          <w:kern w:val="0"/>
          <w:sz w:val="32"/>
          <w:szCs w:val="24"/>
          <w:highlight w:val="none"/>
          <w:lang w:val="en-US" w:eastAsia="zh-CN"/>
        </w:rPr>
        <w:t>:</w:t>
      </w:r>
      <w:r>
        <w:rPr>
          <w:rFonts w:hint="eastAsia" w:ascii="Arial" w:hAnsi="Arial"/>
          <w:b/>
          <w:bCs/>
          <w:color w:val="000000"/>
          <w:sz w:val="32"/>
          <w:szCs w:val="32"/>
          <w:highlight w:val="none"/>
          <w:lang w:eastAsia="zh-CN"/>
        </w:rPr>
        <w:t>镇江晟科工程管理咨询有限公司</w:t>
      </w:r>
    </w:p>
    <w:p w14:paraId="799C5A77">
      <w:pPr>
        <w:spacing w:before="120" w:after="120" w:line="360" w:lineRule="auto"/>
        <w:jc w:val="center"/>
        <w:rPr>
          <w:rFonts w:hint="eastAsia" w:ascii="Arial" w:hAnsi="Arial"/>
          <w:b/>
          <w:bCs/>
          <w:color w:val="000000"/>
          <w:sz w:val="32"/>
          <w:szCs w:val="32"/>
          <w:highlight w:val="none"/>
        </w:rPr>
      </w:pPr>
      <w:r>
        <w:rPr>
          <w:rFonts w:hint="eastAsia" w:ascii="Arial" w:hAnsi="Arial"/>
          <w:b/>
          <w:bCs/>
          <w:color w:val="000000"/>
          <w:sz w:val="32"/>
          <w:szCs w:val="32"/>
          <w:highlight w:val="none"/>
        </w:rPr>
        <w:t>2024年</w:t>
      </w:r>
      <w:r>
        <w:rPr>
          <w:rFonts w:hint="eastAsia" w:ascii="Arial" w:hAnsi="Arial"/>
          <w:b/>
          <w:bCs/>
          <w:color w:val="000000"/>
          <w:sz w:val="32"/>
          <w:szCs w:val="32"/>
          <w:highlight w:val="none"/>
          <w:lang w:val="en-US" w:eastAsia="zh-CN"/>
        </w:rPr>
        <w:t>11</w:t>
      </w:r>
      <w:r>
        <w:rPr>
          <w:rFonts w:hint="eastAsia" w:ascii="Arial" w:hAnsi="Arial"/>
          <w:b/>
          <w:bCs/>
          <w:color w:val="000000"/>
          <w:sz w:val="32"/>
          <w:szCs w:val="32"/>
          <w:highlight w:val="none"/>
        </w:rPr>
        <w:t>月</w:t>
      </w:r>
      <w:r>
        <w:rPr>
          <w:rFonts w:hint="eastAsia" w:ascii="Arial" w:hAnsi="Arial"/>
          <w:b/>
          <w:bCs/>
          <w:color w:val="000000"/>
          <w:sz w:val="32"/>
          <w:szCs w:val="32"/>
          <w:highlight w:val="none"/>
          <w:lang w:val="en-US" w:eastAsia="zh-CN"/>
        </w:rPr>
        <w:t>28</w:t>
      </w:r>
      <w:r>
        <w:rPr>
          <w:rFonts w:hint="eastAsia" w:ascii="Arial" w:hAnsi="Arial"/>
          <w:b/>
          <w:bCs/>
          <w:color w:val="000000"/>
          <w:sz w:val="32"/>
          <w:szCs w:val="32"/>
          <w:highlight w:val="none"/>
        </w:rPr>
        <w:t>日</w:t>
      </w:r>
    </w:p>
    <w:p w14:paraId="5A359F72">
      <w:pPr>
        <w:pStyle w:val="356"/>
        <w:ind w:firstLine="0"/>
        <w:rPr>
          <w:rFonts w:hint="eastAsia"/>
          <w:color w:val="000000"/>
          <w:highlight w:val="none"/>
          <w:u w:val="single"/>
        </w:rPr>
      </w:pPr>
      <w:r>
        <w:rPr>
          <w:rFonts w:hint="eastAsia"/>
          <w:color w:val="000000"/>
          <w:highlight w:val="none"/>
        </w:rPr>
        <w:t xml:space="preserve">                        </w:t>
      </w:r>
    </w:p>
    <w:p w14:paraId="23642F80">
      <w:pPr>
        <w:pStyle w:val="356"/>
        <w:ind w:firstLine="0"/>
        <w:jc w:val="center"/>
        <w:rPr>
          <w:rFonts w:hint="eastAsia"/>
          <w:color w:val="000000"/>
          <w:highlight w:val="none"/>
        </w:rPr>
      </w:pPr>
    </w:p>
    <w:p w14:paraId="724A9440">
      <w:pPr>
        <w:spacing w:line="480" w:lineRule="auto"/>
        <w:jc w:val="center"/>
        <w:outlineLvl w:val="0"/>
        <w:rPr>
          <w:rFonts w:hint="eastAsia" w:ascii="黑体" w:hAnsi="Arial" w:eastAsia="黑体"/>
          <w:b/>
          <w:color w:val="auto"/>
          <w:sz w:val="44"/>
          <w:szCs w:val="21"/>
          <w:highlight w:val="none"/>
        </w:rPr>
        <w:sectPr>
          <w:headerReference r:id="rId3" w:type="default"/>
          <w:footerReference r:id="rId4" w:type="default"/>
          <w:pgSz w:w="11906" w:h="16838"/>
          <w:pgMar w:top="1440" w:right="1803" w:bottom="1440" w:left="1803" w:header="851" w:footer="992" w:gutter="0"/>
          <w:cols w:space="720" w:num="1"/>
          <w:docGrid w:linePitch="360" w:charSpace="0"/>
        </w:sectPr>
      </w:pPr>
    </w:p>
    <w:p w14:paraId="7BC67BD7">
      <w:pPr>
        <w:spacing w:line="480" w:lineRule="auto"/>
        <w:jc w:val="center"/>
        <w:outlineLvl w:val="0"/>
        <w:rPr>
          <w:rFonts w:hint="eastAsia" w:ascii="黑体" w:hAnsi="Arial" w:eastAsia="黑体"/>
          <w:b/>
          <w:color w:val="auto"/>
          <w:sz w:val="44"/>
          <w:szCs w:val="21"/>
          <w:highlight w:val="none"/>
        </w:rPr>
      </w:pPr>
      <w:r>
        <w:rPr>
          <w:rFonts w:hint="eastAsia" w:ascii="黑体" w:hAnsi="Arial" w:eastAsia="黑体"/>
          <w:b/>
          <w:color w:val="auto"/>
          <w:sz w:val="44"/>
          <w:szCs w:val="21"/>
          <w:highlight w:val="none"/>
        </w:rPr>
        <w:t>总  目  录</w:t>
      </w:r>
    </w:p>
    <w:p w14:paraId="6B6099E7">
      <w:pPr>
        <w:spacing w:line="480" w:lineRule="auto"/>
        <w:rPr>
          <w:rFonts w:hint="eastAsia" w:ascii="仿宋_GB2312" w:hAnsi="Arial" w:eastAsia="仿宋_GB2312"/>
          <w:b/>
          <w:color w:val="auto"/>
          <w:sz w:val="28"/>
          <w:szCs w:val="21"/>
          <w:highlight w:val="none"/>
        </w:rPr>
      </w:pPr>
    </w:p>
    <w:p w14:paraId="093FDE57">
      <w:pPr>
        <w:numPr>
          <w:ilvl w:val="0"/>
          <w:numId w:val="5"/>
        </w:numPr>
        <w:spacing w:line="480" w:lineRule="auto"/>
        <w:outlineLvl w:val="0"/>
        <w:rPr>
          <w:rFonts w:hint="eastAsia" w:ascii="黑体" w:hAnsi="Showcard Gothic" w:eastAsia="黑体"/>
          <w:color w:val="auto"/>
          <w:sz w:val="32"/>
          <w:szCs w:val="21"/>
          <w:highlight w:val="none"/>
        </w:rPr>
      </w:pPr>
      <w:r>
        <w:rPr>
          <w:rFonts w:hint="eastAsia" w:ascii="黑体" w:hAnsi="宋体" w:eastAsia="黑体"/>
          <w:color w:val="auto"/>
          <w:sz w:val="36"/>
          <w:szCs w:val="21"/>
          <w:highlight w:val="none"/>
        </w:rPr>
        <w:t>磋商邀请</w:t>
      </w:r>
      <w:r>
        <w:rPr>
          <w:rFonts w:hint="eastAsia" w:ascii="黑体" w:hAnsi="Showcard Gothic" w:eastAsia="黑体"/>
          <w:color w:val="auto"/>
          <w:sz w:val="36"/>
          <w:szCs w:val="21"/>
          <w:highlight w:val="none"/>
        </w:rPr>
        <w:t>……………………………………</w:t>
      </w:r>
      <w:r>
        <w:rPr>
          <w:rFonts w:hint="eastAsia" w:ascii="黑体" w:hAnsi="Showcard Gothic" w:eastAsia="黑体"/>
          <w:color w:val="auto"/>
          <w:sz w:val="36"/>
          <w:szCs w:val="21"/>
          <w:highlight w:val="none"/>
          <w:lang w:val="en-US" w:eastAsia="zh-CN"/>
        </w:rPr>
        <w:t>1</w:t>
      </w:r>
      <w:r>
        <w:rPr>
          <w:rFonts w:hint="eastAsia" w:ascii="黑体" w:hAnsi="Showcard Gothic" w:eastAsia="黑体"/>
          <w:color w:val="auto"/>
          <w:sz w:val="36"/>
          <w:szCs w:val="21"/>
          <w:highlight w:val="none"/>
        </w:rPr>
        <w:t xml:space="preserve"> </w:t>
      </w:r>
    </w:p>
    <w:p w14:paraId="65F564D5">
      <w:pPr>
        <w:numPr>
          <w:ilvl w:val="0"/>
          <w:numId w:val="5"/>
        </w:numPr>
        <w:spacing w:line="480" w:lineRule="auto"/>
        <w:outlineLvl w:val="0"/>
        <w:rPr>
          <w:rFonts w:hint="eastAsia" w:ascii="黑体" w:hAnsi="Showcard Gothic" w:eastAsia="黑体"/>
          <w:color w:val="auto"/>
          <w:sz w:val="36"/>
          <w:szCs w:val="21"/>
          <w:highlight w:val="none"/>
        </w:rPr>
      </w:pPr>
      <w:r>
        <w:rPr>
          <w:rFonts w:hint="eastAsia" w:ascii="黑体" w:hAnsi="宋体" w:eastAsia="黑体"/>
          <w:bCs/>
          <w:color w:val="auto"/>
          <w:sz w:val="36"/>
          <w:szCs w:val="36"/>
          <w:highlight w:val="none"/>
        </w:rPr>
        <w:t>供应商须知</w:t>
      </w:r>
      <w:r>
        <w:rPr>
          <w:rFonts w:hint="eastAsia" w:ascii="黑体" w:hAnsi="Showcard Gothic" w:eastAsia="黑体"/>
          <w:color w:val="auto"/>
          <w:sz w:val="36"/>
          <w:szCs w:val="36"/>
          <w:highlight w:val="none"/>
        </w:rPr>
        <w:t>…</w:t>
      </w:r>
      <w:r>
        <w:rPr>
          <w:rFonts w:hint="eastAsia" w:ascii="黑体" w:hAnsi="Showcard Gothic" w:eastAsia="黑体"/>
          <w:color w:val="auto"/>
          <w:sz w:val="36"/>
          <w:szCs w:val="21"/>
          <w:highlight w:val="none"/>
        </w:rPr>
        <w:t>………………………………</w:t>
      </w:r>
      <w:r>
        <w:rPr>
          <w:rFonts w:hint="eastAsia" w:ascii="黑体" w:hAnsi="Showcard Gothic" w:eastAsia="黑体"/>
          <w:color w:val="auto"/>
          <w:sz w:val="36"/>
          <w:szCs w:val="21"/>
          <w:highlight w:val="none"/>
          <w:lang w:val="en-US" w:eastAsia="zh-CN"/>
        </w:rPr>
        <w:t>6</w:t>
      </w:r>
      <w:r>
        <w:rPr>
          <w:rFonts w:hint="eastAsia" w:ascii="黑体" w:hAnsi="Showcard Gothic" w:eastAsia="黑体"/>
          <w:color w:val="auto"/>
          <w:sz w:val="36"/>
          <w:szCs w:val="21"/>
          <w:highlight w:val="none"/>
        </w:rPr>
        <w:t xml:space="preserve">  </w:t>
      </w:r>
    </w:p>
    <w:p w14:paraId="0F8FE748">
      <w:pPr>
        <w:numPr>
          <w:ilvl w:val="0"/>
          <w:numId w:val="5"/>
        </w:numPr>
        <w:spacing w:line="480" w:lineRule="auto"/>
        <w:outlineLvl w:val="0"/>
        <w:rPr>
          <w:rFonts w:hint="eastAsia" w:ascii="黑体" w:hAnsi="Showcard Gothic" w:eastAsia="黑体"/>
          <w:color w:val="auto"/>
          <w:sz w:val="36"/>
          <w:szCs w:val="21"/>
          <w:highlight w:val="none"/>
        </w:rPr>
      </w:pPr>
      <w:r>
        <w:rPr>
          <w:rFonts w:hint="eastAsia" w:ascii="黑体" w:hAnsi="宋体" w:eastAsia="黑体"/>
          <w:color w:val="auto"/>
          <w:sz w:val="36"/>
          <w:szCs w:val="21"/>
          <w:highlight w:val="none"/>
        </w:rPr>
        <w:t>合同文本</w:t>
      </w:r>
      <w:r>
        <w:rPr>
          <w:rFonts w:hint="eastAsia" w:ascii="黑体" w:hAnsi="Showcard Gothic" w:eastAsia="黑体"/>
          <w:color w:val="auto"/>
          <w:sz w:val="36"/>
          <w:szCs w:val="21"/>
          <w:highlight w:val="none"/>
        </w:rPr>
        <w:t>……………………………………</w:t>
      </w:r>
      <w:r>
        <w:rPr>
          <w:rFonts w:hint="eastAsia" w:ascii="黑体" w:hAnsi="Showcard Gothic" w:eastAsia="黑体"/>
          <w:color w:val="auto"/>
          <w:sz w:val="36"/>
          <w:szCs w:val="21"/>
          <w:highlight w:val="none"/>
          <w:lang w:val="en-US" w:eastAsia="zh-CN"/>
        </w:rPr>
        <w:t>22</w:t>
      </w:r>
    </w:p>
    <w:p w14:paraId="58FEB8BF">
      <w:pPr>
        <w:numPr>
          <w:ilvl w:val="0"/>
          <w:numId w:val="5"/>
        </w:numPr>
        <w:spacing w:line="480" w:lineRule="auto"/>
        <w:outlineLvl w:val="0"/>
        <w:rPr>
          <w:rFonts w:hint="eastAsia" w:ascii="黑体" w:hAnsi="Showcard Gothic" w:eastAsia="黑体"/>
          <w:color w:val="auto"/>
          <w:sz w:val="36"/>
          <w:szCs w:val="21"/>
          <w:highlight w:val="none"/>
        </w:rPr>
      </w:pPr>
      <w:r>
        <w:rPr>
          <w:rFonts w:hint="eastAsia" w:ascii="黑体" w:hAnsi="宋体" w:eastAsia="黑体"/>
          <w:color w:val="auto"/>
          <w:sz w:val="36"/>
          <w:szCs w:val="21"/>
          <w:highlight w:val="none"/>
        </w:rPr>
        <w:t>采购需求</w:t>
      </w:r>
      <w:r>
        <w:rPr>
          <w:rFonts w:hint="eastAsia" w:ascii="黑体" w:hAnsi="Showcard Gothic" w:eastAsia="黑体"/>
          <w:color w:val="auto"/>
          <w:sz w:val="36"/>
          <w:szCs w:val="21"/>
          <w:highlight w:val="none"/>
        </w:rPr>
        <w:t>……………………………………</w:t>
      </w:r>
      <w:r>
        <w:rPr>
          <w:rFonts w:hint="eastAsia" w:ascii="黑体" w:hAnsi="Showcard Gothic" w:eastAsia="黑体"/>
          <w:color w:val="auto"/>
          <w:sz w:val="36"/>
          <w:szCs w:val="21"/>
          <w:highlight w:val="none"/>
          <w:lang w:val="en-US" w:eastAsia="zh-CN"/>
        </w:rPr>
        <w:t>33</w:t>
      </w:r>
    </w:p>
    <w:p w14:paraId="48FDD065">
      <w:pPr>
        <w:numPr>
          <w:ilvl w:val="0"/>
          <w:numId w:val="5"/>
        </w:numPr>
        <w:spacing w:line="480" w:lineRule="auto"/>
        <w:outlineLvl w:val="0"/>
        <w:rPr>
          <w:rFonts w:hint="eastAsia" w:ascii="黑体" w:hAnsi="Showcard Gothic" w:eastAsia="黑体"/>
          <w:color w:val="auto"/>
          <w:sz w:val="36"/>
          <w:szCs w:val="21"/>
          <w:highlight w:val="none"/>
        </w:rPr>
      </w:pPr>
      <w:r>
        <w:rPr>
          <w:rFonts w:hint="eastAsia" w:ascii="黑体" w:hAnsi="宋体" w:eastAsia="黑体"/>
          <w:bCs/>
          <w:color w:val="auto"/>
          <w:sz w:val="36"/>
          <w:szCs w:val="36"/>
          <w:highlight w:val="none"/>
        </w:rPr>
        <w:t>评审方法与评审标准</w:t>
      </w:r>
      <w:r>
        <w:rPr>
          <w:rFonts w:hint="eastAsia" w:ascii="黑体" w:hAnsi="Showcard Gothic" w:eastAsia="黑体"/>
          <w:color w:val="auto"/>
          <w:sz w:val="36"/>
          <w:szCs w:val="21"/>
          <w:highlight w:val="none"/>
        </w:rPr>
        <w:t>………………………</w:t>
      </w:r>
      <w:r>
        <w:rPr>
          <w:rFonts w:hint="eastAsia" w:ascii="黑体" w:hAnsi="Showcard Gothic" w:eastAsia="黑体"/>
          <w:color w:val="auto"/>
          <w:sz w:val="36"/>
          <w:szCs w:val="21"/>
          <w:highlight w:val="none"/>
          <w:lang w:val="en-US" w:eastAsia="zh-CN"/>
        </w:rPr>
        <w:t>40</w:t>
      </w:r>
    </w:p>
    <w:p w14:paraId="10DAA185">
      <w:pPr>
        <w:numPr>
          <w:ilvl w:val="0"/>
          <w:numId w:val="5"/>
        </w:numPr>
        <w:spacing w:line="480" w:lineRule="auto"/>
        <w:outlineLvl w:val="0"/>
        <w:rPr>
          <w:rFonts w:hint="eastAsia" w:ascii="黑体" w:hAnsi="Showcard Gothic" w:eastAsia="黑体"/>
          <w:color w:val="auto"/>
          <w:sz w:val="36"/>
          <w:szCs w:val="21"/>
          <w:highlight w:val="none"/>
        </w:rPr>
      </w:pPr>
      <w:r>
        <w:rPr>
          <w:rFonts w:hint="eastAsia" w:ascii="黑体" w:hAnsi="宋体" w:eastAsia="黑体"/>
          <w:color w:val="auto"/>
          <w:sz w:val="36"/>
          <w:szCs w:val="21"/>
          <w:highlight w:val="none"/>
        </w:rPr>
        <w:t>响应文件格式</w:t>
      </w:r>
      <w:r>
        <w:rPr>
          <w:rFonts w:hint="eastAsia" w:ascii="黑体" w:hAnsi="Showcard Gothic" w:eastAsia="黑体"/>
          <w:color w:val="auto"/>
          <w:sz w:val="36"/>
          <w:szCs w:val="21"/>
          <w:highlight w:val="none"/>
        </w:rPr>
        <w:t>………………………………</w:t>
      </w:r>
      <w:r>
        <w:rPr>
          <w:rFonts w:hint="eastAsia" w:ascii="黑体" w:hAnsi="Showcard Gothic" w:eastAsia="黑体"/>
          <w:color w:val="auto"/>
          <w:sz w:val="36"/>
          <w:szCs w:val="21"/>
          <w:highlight w:val="none"/>
          <w:lang w:val="en-US" w:eastAsia="zh-CN"/>
        </w:rPr>
        <w:t>52</w:t>
      </w:r>
    </w:p>
    <w:p w14:paraId="7063F25D">
      <w:pPr>
        <w:rPr>
          <w:rFonts w:hint="eastAsia"/>
          <w:color w:val="000000"/>
          <w:highlight w:val="none"/>
        </w:rPr>
      </w:pPr>
    </w:p>
    <w:p w14:paraId="0025DA2E">
      <w:pPr>
        <w:rPr>
          <w:rFonts w:hint="eastAsia"/>
          <w:color w:val="000000"/>
          <w:highlight w:val="none"/>
        </w:rPr>
      </w:pPr>
    </w:p>
    <w:p w14:paraId="70C5EBE2">
      <w:pPr>
        <w:rPr>
          <w:rFonts w:hint="eastAsia"/>
          <w:color w:val="000000"/>
          <w:highlight w:val="none"/>
        </w:rPr>
      </w:pPr>
    </w:p>
    <w:p w14:paraId="27E61D55">
      <w:pPr>
        <w:rPr>
          <w:rFonts w:hint="eastAsia"/>
          <w:color w:val="000000"/>
          <w:highlight w:val="none"/>
        </w:rPr>
      </w:pPr>
    </w:p>
    <w:p w14:paraId="52B79AF7">
      <w:pPr>
        <w:rPr>
          <w:rFonts w:hint="eastAsia"/>
          <w:color w:val="000000"/>
          <w:highlight w:val="none"/>
        </w:rPr>
      </w:pPr>
    </w:p>
    <w:p w14:paraId="4DA7C4CD">
      <w:pPr>
        <w:rPr>
          <w:rFonts w:hint="eastAsia"/>
          <w:color w:val="000000"/>
          <w:highlight w:val="none"/>
        </w:rPr>
      </w:pPr>
    </w:p>
    <w:p w14:paraId="0F7A7E90">
      <w:pPr>
        <w:rPr>
          <w:rFonts w:hint="eastAsia"/>
          <w:color w:val="000000"/>
          <w:highlight w:val="none"/>
        </w:rPr>
      </w:pPr>
    </w:p>
    <w:p w14:paraId="140982B9">
      <w:pPr>
        <w:rPr>
          <w:rFonts w:hint="eastAsia"/>
          <w:color w:val="000000"/>
          <w:highlight w:val="none"/>
        </w:rPr>
      </w:pPr>
    </w:p>
    <w:p w14:paraId="6CA5E42A">
      <w:pPr>
        <w:rPr>
          <w:rFonts w:hint="eastAsia"/>
          <w:color w:val="000000"/>
          <w:highlight w:val="none"/>
        </w:rPr>
      </w:pPr>
    </w:p>
    <w:p w14:paraId="6971F61E">
      <w:pPr>
        <w:rPr>
          <w:rFonts w:hint="eastAsia"/>
          <w:color w:val="000000"/>
          <w:highlight w:val="none"/>
        </w:rPr>
      </w:pPr>
    </w:p>
    <w:p w14:paraId="29C3C24B">
      <w:pPr>
        <w:rPr>
          <w:rFonts w:hint="eastAsia"/>
          <w:color w:val="000000"/>
          <w:highlight w:val="none"/>
        </w:rPr>
      </w:pPr>
    </w:p>
    <w:p w14:paraId="25AF7827">
      <w:pPr>
        <w:rPr>
          <w:rFonts w:hint="eastAsia"/>
          <w:color w:val="000000"/>
          <w:highlight w:val="none"/>
        </w:rPr>
      </w:pPr>
    </w:p>
    <w:p w14:paraId="167CCE6A">
      <w:pPr>
        <w:rPr>
          <w:rFonts w:hint="eastAsia"/>
          <w:color w:val="000000"/>
          <w:highlight w:val="none"/>
        </w:rPr>
      </w:pPr>
    </w:p>
    <w:p w14:paraId="2C0436F0">
      <w:pPr>
        <w:rPr>
          <w:rFonts w:hint="eastAsia"/>
          <w:color w:val="000000"/>
          <w:highlight w:val="none"/>
        </w:rPr>
      </w:pPr>
    </w:p>
    <w:p w14:paraId="689560EF">
      <w:pPr>
        <w:rPr>
          <w:rFonts w:hint="eastAsia"/>
          <w:color w:val="000000"/>
          <w:highlight w:val="none"/>
        </w:rPr>
      </w:pPr>
    </w:p>
    <w:p w14:paraId="15CC3A93">
      <w:pPr>
        <w:rPr>
          <w:rFonts w:hint="eastAsia"/>
          <w:color w:val="000000"/>
          <w:highlight w:val="none"/>
        </w:rPr>
      </w:pPr>
    </w:p>
    <w:p w14:paraId="30C50557">
      <w:pPr>
        <w:rPr>
          <w:rFonts w:hint="eastAsia"/>
          <w:color w:val="000000"/>
          <w:highlight w:val="none"/>
        </w:rPr>
      </w:pPr>
    </w:p>
    <w:p w14:paraId="65DB6268">
      <w:pPr>
        <w:rPr>
          <w:rFonts w:hint="eastAsia"/>
          <w:color w:val="000000"/>
          <w:highlight w:val="none"/>
        </w:rPr>
      </w:pPr>
    </w:p>
    <w:p w14:paraId="00EB93BD">
      <w:pPr>
        <w:rPr>
          <w:rFonts w:hint="eastAsia"/>
          <w:color w:val="000000"/>
          <w:highlight w:val="none"/>
        </w:rPr>
      </w:pPr>
    </w:p>
    <w:p w14:paraId="50F43B33">
      <w:pPr>
        <w:rPr>
          <w:rFonts w:hint="eastAsia"/>
          <w:color w:val="000000"/>
          <w:highlight w:val="none"/>
        </w:rPr>
      </w:pPr>
    </w:p>
    <w:p w14:paraId="2861D720">
      <w:pPr>
        <w:rPr>
          <w:rFonts w:hint="eastAsia"/>
          <w:color w:val="000000"/>
          <w:highlight w:val="none"/>
        </w:rPr>
      </w:pPr>
    </w:p>
    <w:p w14:paraId="18E45634">
      <w:pPr>
        <w:rPr>
          <w:rFonts w:hint="eastAsia"/>
          <w:color w:val="000000"/>
          <w:highlight w:val="none"/>
        </w:rPr>
      </w:pPr>
    </w:p>
    <w:p w14:paraId="43E1C0E1">
      <w:pPr>
        <w:rPr>
          <w:rFonts w:hint="eastAsia"/>
          <w:color w:val="000000"/>
          <w:highlight w:val="none"/>
        </w:rPr>
      </w:pPr>
    </w:p>
    <w:p w14:paraId="313B437E">
      <w:pPr>
        <w:rPr>
          <w:rFonts w:hint="eastAsia"/>
          <w:color w:val="000000"/>
          <w:highlight w:val="none"/>
        </w:rPr>
      </w:pPr>
    </w:p>
    <w:p w14:paraId="331D5679">
      <w:pPr>
        <w:rPr>
          <w:rFonts w:hint="eastAsia"/>
          <w:color w:val="000000"/>
          <w:highlight w:val="none"/>
        </w:rPr>
      </w:pPr>
    </w:p>
    <w:p w14:paraId="2B9FAC33">
      <w:pPr>
        <w:pStyle w:val="3"/>
        <w:numPr>
          <w:ilvl w:val="0"/>
          <w:numId w:val="0"/>
        </w:numPr>
        <w:spacing w:line="360" w:lineRule="auto"/>
        <w:jc w:val="center"/>
        <w:outlineLvl w:val="0"/>
        <w:rPr>
          <w:rFonts w:hint="eastAsia" w:ascii="仿宋" w:hAnsi="仿宋" w:eastAsia="仿宋" w:cs="Times New Roman"/>
          <w:b/>
          <w:color w:val="auto"/>
          <w:sz w:val="44"/>
          <w:szCs w:val="44"/>
          <w:lang w:val="en-US" w:eastAsia="zh-CN"/>
        </w:rPr>
      </w:pPr>
      <w:bookmarkStart w:id="0" w:name="_Toc3813"/>
      <w:bookmarkStart w:id="1" w:name="_Toc17836"/>
      <w:bookmarkStart w:id="2" w:name="_Toc28612"/>
      <w:bookmarkStart w:id="3" w:name="_Toc22255"/>
      <w:bookmarkStart w:id="4" w:name="_Toc31614"/>
      <w:bookmarkStart w:id="5" w:name="_Toc5899"/>
      <w:bookmarkStart w:id="6" w:name="_Toc8840"/>
      <w:bookmarkStart w:id="7" w:name="_Toc3970"/>
      <w:bookmarkStart w:id="8" w:name="_Toc23007"/>
      <w:bookmarkStart w:id="9" w:name="_Toc14188"/>
      <w:bookmarkStart w:id="10" w:name="_Toc7475"/>
      <w:bookmarkStart w:id="11" w:name="_Toc32012"/>
    </w:p>
    <w:p w14:paraId="1A28AFFF">
      <w:pPr>
        <w:pStyle w:val="3"/>
        <w:numPr>
          <w:ilvl w:val="0"/>
          <w:numId w:val="0"/>
        </w:numPr>
        <w:spacing w:line="360" w:lineRule="auto"/>
        <w:jc w:val="center"/>
        <w:outlineLvl w:val="0"/>
        <w:rPr>
          <w:rFonts w:hint="eastAsia" w:ascii="仿宋" w:hAnsi="仿宋" w:eastAsia="仿宋" w:cs="Times New Roman"/>
          <w:b/>
          <w:color w:val="auto"/>
          <w:sz w:val="44"/>
          <w:szCs w:val="44"/>
          <w:lang w:val="en-US" w:eastAsia="zh-CN"/>
        </w:rPr>
        <w:sectPr>
          <w:footerReference r:id="rId5" w:type="default"/>
          <w:pgSz w:w="11906" w:h="16838"/>
          <w:pgMar w:top="1440" w:right="1803" w:bottom="1440" w:left="1803" w:header="851" w:footer="992" w:gutter="0"/>
          <w:pgNumType w:start="1"/>
          <w:cols w:space="720" w:num="1"/>
          <w:docGrid w:linePitch="360" w:charSpace="0"/>
        </w:sectPr>
      </w:pPr>
    </w:p>
    <w:p w14:paraId="2DDFE8D6">
      <w:pPr>
        <w:pStyle w:val="3"/>
        <w:numPr>
          <w:ilvl w:val="0"/>
          <w:numId w:val="0"/>
        </w:numPr>
        <w:spacing w:line="360" w:lineRule="auto"/>
        <w:jc w:val="center"/>
        <w:outlineLvl w:val="0"/>
        <w:rPr>
          <w:rFonts w:hint="eastAsia" w:ascii="仿宋" w:hAnsi="仿宋" w:eastAsia="仿宋" w:cs="Times New Roman"/>
          <w:b/>
          <w:color w:val="auto"/>
          <w:sz w:val="44"/>
          <w:szCs w:val="44"/>
        </w:rPr>
      </w:pPr>
      <w:r>
        <w:rPr>
          <w:rFonts w:hint="eastAsia" w:ascii="仿宋" w:hAnsi="仿宋" w:eastAsia="仿宋" w:cs="Times New Roman"/>
          <w:b/>
          <w:color w:val="auto"/>
          <w:sz w:val="44"/>
          <w:szCs w:val="44"/>
          <w:lang w:val="en-US" w:eastAsia="zh-CN"/>
        </w:rPr>
        <w:t>第一章</w:t>
      </w:r>
      <w:r>
        <w:rPr>
          <w:rFonts w:ascii="仿宋" w:hAnsi="仿宋" w:eastAsia="仿宋" w:cs="Times New Roman"/>
          <w:b/>
          <w:color w:val="auto"/>
          <w:sz w:val="44"/>
          <w:szCs w:val="44"/>
        </w:rPr>
        <w:t xml:space="preserve"> </w:t>
      </w:r>
      <w:bookmarkEnd w:id="0"/>
      <w:bookmarkEnd w:id="1"/>
      <w:bookmarkEnd w:id="2"/>
      <w:bookmarkEnd w:id="3"/>
      <w:bookmarkEnd w:id="4"/>
      <w:bookmarkEnd w:id="5"/>
      <w:bookmarkEnd w:id="6"/>
      <w:bookmarkEnd w:id="7"/>
      <w:bookmarkEnd w:id="8"/>
      <w:bookmarkEnd w:id="9"/>
      <w:bookmarkEnd w:id="10"/>
      <w:bookmarkEnd w:id="11"/>
      <w:r>
        <w:rPr>
          <w:rFonts w:hint="eastAsia" w:ascii="仿宋" w:hAnsi="仿宋" w:eastAsia="仿宋" w:cs="Times New Roman"/>
          <w:b/>
          <w:color w:val="auto"/>
          <w:sz w:val="44"/>
          <w:szCs w:val="44"/>
        </w:rPr>
        <w:t>磋商邀请</w:t>
      </w:r>
    </w:p>
    <w:p w14:paraId="368A7934">
      <w:pPr>
        <w:spacing w:line="440" w:lineRule="exact"/>
        <w:ind w:firstLine="480" w:firstLineChars="200"/>
      </w:pPr>
      <w:r>
        <w:rPr>
          <w:rFonts w:hint="eastAsia" w:ascii="宋体" w:hAnsi="宋体"/>
          <w:color w:val="000000"/>
          <w:sz w:val="24"/>
          <w:szCs w:val="24"/>
          <w:highlight w:val="none"/>
        </w:rPr>
        <w:t>受[</w:t>
      </w:r>
      <w:r>
        <w:rPr>
          <w:rFonts w:hint="eastAsia" w:ascii="宋体" w:hAnsi="宋体"/>
          <w:color w:val="000000"/>
          <w:sz w:val="24"/>
          <w:szCs w:val="24"/>
          <w:highlight w:val="none"/>
          <w:lang w:eastAsia="zh-CN"/>
        </w:rPr>
        <w:t>扬中市西来桥镇人民政府</w:t>
      </w:r>
      <w:r>
        <w:rPr>
          <w:rFonts w:hint="eastAsia" w:ascii="宋体" w:hAnsi="宋体"/>
          <w:color w:val="000000"/>
          <w:sz w:val="24"/>
          <w:szCs w:val="24"/>
          <w:highlight w:val="none"/>
        </w:rPr>
        <w:t>]的委托，就[</w:t>
      </w:r>
      <w:r>
        <w:rPr>
          <w:rFonts w:hint="eastAsia" w:ascii="宋体" w:hAnsi="宋体"/>
          <w:color w:val="000000"/>
          <w:sz w:val="24"/>
          <w:szCs w:val="24"/>
          <w:highlight w:val="none"/>
          <w:lang w:eastAsia="zh-CN"/>
        </w:rPr>
        <w:t>扬中市西来桥镇垃圾收运市场化运作项目服务项目</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项目编号：</w:t>
      </w:r>
      <w:r>
        <w:rPr>
          <w:rFonts w:hint="eastAsia" w:ascii="宋体" w:hAnsi="宋体"/>
          <w:b/>
          <w:bCs/>
          <w:color w:val="000000"/>
          <w:sz w:val="24"/>
          <w:szCs w:val="24"/>
          <w:highlight w:val="none"/>
          <w:lang w:eastAsia="zh-CN"/>
        </w:rPr>
        <w:t>JSZC-321182-ZJSK-C2024-0003</w:t>
      </w:r>
      <w:r>
        <w:rPr>
          <w:rFonts w:hint="eastAsia" w:ascii="宋体" w:hAnsi="宋体"/>
          <w:color w:val="000000"/>
          <w:sz w:val="24"/>
          <w:szCs w:val="24"/>
          <w:highlight w:val="none"/>
        </w:rPr>
        <w:t>])</w:t>
      </w:r>
      <w:r>
        <w:rPr>
          <w:rFonts w:hint="eastAsia" w:ascii="宋体" w:hAnsi="宋体"/>
          <w:color w:val="auto"/>
          <w:sz w:val="24"/>
          <w:szCs w:val="24"/>
          <w:highlight w:val="none"/>
        </w:rPr>
        <w:t>项目进行竞争性磋商采购，欢迎符合条件的供应商参加磋商。</w:t>
      </w:r>
    </w:p>
    <w:tbl>
      <w:tblPr>
        <w:tblStyle w:val="43"/>
        <w:tblW w:w="8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0"/>
      </w:tblGrid>
      <w:tr w14:paraId="3AE6E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8890" w:type="dxa"/>
            <w:noWrap w:val="0"/>
          </w:tcPr>
          <w:p w14:paraId="39E6CEB8">
            <w:pPr>
              <w:pStyle w:val="3"/>
              <w:spacing w:line="360" w:lineRule="auto"/>
              <w:ind w:left="0" w:leftChars="0" w:firstLine="0" w:firstLineChars="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项目概况：</w:t>
            </w:r>
          </w:p>
          <w:p w14:paraId="254DF803">
            <w:pPr>
              <w:pStyle w:val="3"/>
              <w:spacing w:line="360" w:lineRule="auto"/>
              <w:ind w:firstLine="560"/>
              <w:rPr>
                <w:rFonts w:ascii="仿宋" w:hAnsi="仿宋" w:eastAsia="仿宋"/>
                <w:color w:val="auto"/>
                <w:sz w:val="28"/>
                <w:szCs w:val="28"/>
              </w:rPr>
            </w:pP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eastAsia="zh-CN"/>
              </w:rPr>
              <w:t>扬中市西来桥镇垃圾收运市场化运作项目服务项目</w:t>
            </w:r>
            <w:r>
              <w:rPr>
                <w:rFonts w:hint="eastAsia" w:ascii="宋体" w:hAnsi="宋体"/>
                <w:color w:val="auto"/>
                <w:sz w:val="24"/>
                <w:szCs w:val="24"/>
                <w:highlight w:val="none"/>
              </w:rPr>
              <w:t>竞争性磋商项目的潜在供应商可在“江苏政府采购网”</w:t>
            </w:r>
            <w:r>
              <w:rPr>
                <w:rFonts w:hint="eastAsia" w:ascii="宋体" w:hAnsi="宋体"/>
                <w:color w:val="000000"/>
                <w:sz w:val="24"/>
                <w:szCs w:val="24"/>
                <w:highlight w:val="none"/>
                <w:u w:val="single"/>
              </w:rPr>
              <w:t>http://jszfcg.jscz.gov.cn/jszc/login自行免费下载</w:t>
            </w:r>
            <w:r>
              <w:rPr>
                <w:rFonts w:hint="eastAsia" w:ascii="宋体" w:hAnsi="宋体"/>
                <w:color w:val="auto"/>
                <w:sz w:val="24"/>
                <w:szCs w:val="24"/>
                <w:highlight w:val="none"/>
              </w:rPr>
              <w:t>磋商文件</w:t>
            </w:r>
            <w:r>
              <w:rPr>
                <w:rFonts w:hint="eastAsia" w:ascii="宋体" w:hAnsi="宋体"/>
                <w:color w:val="000000"/>
                <w:sz w:val="24"/>
                <w:szCs w:val="24"/>
                <w:highlight w:val="none"/>
              </w:rPr>
              <w:t>，</w:t>
            </w:r>
            <w:r>
              <w:rPr>
                <w:rFonts w:hint="eastAsia" w:ascii="宋体" w:hAnsi="宋体"/>
                <w:b/>
                <w:bCs/>
                <w:color w:val="FF0000"/>
                <w:sz w:val="24"/>
                <w:szCs w:val="24"/>
                <w:highlight w:val="yellow"/>
              </w:rPr>
              <w:t>并于</w:t>
            </w:r>
            <w:r>
              <w:rPr>
                <w:rFonts w:hint="eastAsia" w:ascii="宋体" w:hAnsi="宋体"/>
                <w:b/>
                <w:bCs/>
                <w:color w:val="FF0000"/>
                <w:sz w:val="24"/>
                <w:szCs w:val="24"/>
                <w:highlight w:val="yellow"/>
                <w:u w:val="single"/>
                <w:lang w:val="en-US" w:eastAsia="zh-CN"/>
              </w:rPr>
              <w:t>2024</w:t>
            </w:r>
            <w:r>
              <w:rPr>
                <w:rFonts w:hint="eastAsia" w:ascii="宋体" w:hAnsi="宋体"/>
                <w:b/>
                <w:bCs/>
                <w:color w:val="FF0000"/>
                <w:sz w:val="24"/>
                <w:szCs w:val="24"/>
                <w:highlight w:val="yellow"/>
                <w:u w:val="single"/>
              </w:rPr>
              <w:t>年</w:t>
            </w:r>
            <w:r>
              <w:rPr>
                <w:rFonts w:hint="eastAsia" w:ascii="宋体" w:hAnsi="宋体"/>
                <w:b/>
                <w:bCs/>
                <w:color w:val="FF0000"/>
                <w:sz w:val="24"/>
                <w:szCs w:val="24"/>
                <w:highlight w:val="yellow"/>
                <w:u w:val="single"/>
                <w:lang w:val="en-US" w:eastAsia="zh-CN"/>
              </w:rPr>
              <w:t>12</w:t>
            </w:r>
            <w:r>
              <w:rPr>
                <w:rFonts w:hint="eastAsia" w:ascii="宋体" w:hAnsi="宋体"/>
                <w:b/>
                <w:bCs/>
                <w:color w:val="FF0000"/>
                <w:sz w:val="24"/>
                <w:szCs w:val="24"/>
                <w:highlight w:val="yellow"/>
                <w:u w:val="single"/>
              </w:rPr>
              <w:t>月</w:t>
            </w:r>
            <w:r>
              <w:rPr>
                <w:rFonts w:hint="eastAsia" w:ascii="宋体" w:hAnsi="宋体"/>
                <w:b/>
                <w:bCs/>
                <w:color w:val="FF0000"/>
                <w:sz w:val="24"/>
                <w:szCs w:val="24"/>
                <w:highlight w:val="yellow"/>
                <w:u w:val="single"/>
                <w:lang w:val="en-US" w:eastAsia="zh-CN"/>
              </w:rPr>
              <w:t>11</w:t>
            </w:r>
            <w:r>
              <w:rPr>
                <w:rFonts w:hint="eastAsia" w:ascii="宋体" w:hAnsi="宋体"/>
                <w:b/>
                <w:bCs/>
                <w:color w:val="FF0000"/>
                <w:sz w:val="24"/>
                <w:szCs w:val="24"/>
                <w:highlight w:val="yellow"/>
                <w:u w:val="single"/>
              </w:rPr>
              <w:t>日</w:t>
            </w:r>
            <w:r>
              <w:rPr>
                <w:rFonts w:hint="eastAsia" w:ascii="宋体" w:hAnsi="宋体"/>
                <w:b/>
                <w:bCs/>
                <w:color w:val="FF0000"/>
                <w:sz w:val="24"/>
                <w:szCs w:val="24"/>
                <w:highlight w:val="yellow"/>
                <w:u w:val="single"/>
                <w:lang w:val="en-US" w:eastAsia="zh-CN"/>
              </w:rPr>
              <w:t>14</w:t>
            </w:r>
            <w:r>
              <w:rPr>
                <w:rFonts w:hint="eastAsia" w:ascii="宋体" w:hAnsi="宋体"/>
                <w:b/>
                <w:bCs/>
                <w:color w:val="FF0000"/>
                <w:sz w:val="24"/>
                <w:szCs w:val="24"/>
                <w:highlight w:val="yellow"/>
                <w:u w:val="single"/>
              </w:rPr>
              <w:t>点</w:t>
            </w:r>
            <w:r>
              <w:rPr>
                <w:rFonts w:hint="eastAsia" w:ascii="宋体" w:hAnsi="宋体"/>
                <w:b/>
                <w:bCs/>
                <w:color w:val="FF0000"/>
                <w:sz w:val="24"/>
                <w:szCs w:val="24"/>
                <w:highlight w:val="yellow"/>
                <w:u w:val="single"/>
                <w:lang w:val="en-US" w:eastAsia="zh-CN"/>
              </w:rPr>
              <w:t>30</w:t>
            </w:r>
            <w:r>
              <w:rPr>
                <w:rFonts w:hint="eastAsia" w:ascii="宋体" w:hAnsi="宋体"/>
                <w:b/>
                <w:bCs/>
                <w:color w:val="FF0000"/>
                <w:sz w:val="24"/>
                <w:szCs w:val="24"/>
                <w:highlight w:val="yellow"/>
                <w:u w:val="single"/>
              </w:rPr>
              <w:t>分（</w:t>
            </w:r>
            <w:r>
              <w:rPr>
                <w:rFonts w:hint="eastAsia" w:ascii="宋体" w:hAnsi="宋体"/>
                <w:b/>
                <w:bCs/>
                <w:color w:val="FF0000"/>
                <w:sz w:val="24"/>
                <w:szCs w:val="24"/>
                <w:highlight w:val="yellow"/>
              </w:rPr>
              <w:t>北京时间）前递交</w:t>
            </w:r>
            <w:r>
              <w:rPr>
                <w:rFonts w:hint="eastAsia" w:ascii="宋体" w:hAnsi="宋体"/>
                <w:bCs/>
                <w:color w:val="FF0000"/>
                <w:sz w:val="24"/>
                <w:szCs w:val="24"/>
                <w:highlight w:val="yellow"/>
              </w:rPr>
              <w:t>前递交响应文件</w:t>
            </w:r>
            <w:r>
              <w:rPr>
                <w:rFonts w:ascii="仿宋" w:hAnsi="仿宋" w:eastAsia="仿宋"/>
                <w:b/>
                <w:bCs/>
                <w:color w:val="FF0000"/>
                <w:sz w:val="28"/>
                <w:szCs w:val="28"/>
                <w:highlight w:val="yellow"/>
              </w:rPr>
              <w:t>。</w:t>
            </w:r>
          </w:p>
        </w:tc>
      </w:tr>
    </w:tbl>
    <w:p w14:paraId="122583A4">
      <w:pPr>
        <w:pStyle w:val="3"/>
        <w:spacing w:line="360" w:lineRule="auto"/>
        <w:rPr>
          <w:rFonts w:hint="eastAsia" w:ascii="宋体" w:hAnsi="宋体" w:eastAsia="宋体" w:cs="宋体"/>
          <w:color w:val="auto"/>
          <w:sz w:val="24"/>
          <w:szCs w:val="24"/>
        </w:rPr>
      </w:pPr>
      <w:r>
        <w:rPr>
          <w:rFonts w:hint="eastAsia" w:ascii="宋体" w:hAnsi="宋体" w:eastAsia="宋体" w:cs="宋体"/>
          <w:color w:val="auto"/>
          <w:sz w:val="28"/>
          <w:szCs w:val="28"/>
        </w:rPr>
        <w:t>一</w:t>
      </w:r>
      <w:r>
        <w:rPr>
          <w:rFonts w:hint="eastAsia" w:ascii="宋体" w:hAnsi="宋体" w:eastAsia="宋体" w:cs="宋体"/>
          <w:color w:val="auto"/>
          <w:sz w:val="24"/>
          <w:szCs w:val="24"/>
        </w:rPr>
        <w:t>、项目基本情况</w:t>
      </w:r>
    </w:p>
    <w:p w14:paraId="7ED9686B">
      <w:pPr>
        <w:pStyle w:val="3"/>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1、项目编号：</w:t>
      </w:r>
      <w:r>
        <w:rPr>
          <w:rFonts w:hint="eastAsia" w:ascii="宋体" w:hAnsi="宋体" w:eastAsia="宋体" w:cs="宋体"/>
          <w:color w:val="auto"/>
          <w:sz w:val="24"/>
          <w:szCs w:val="24"/>
          <w:lang w:eastAsia="zh-CN"/>
        </w:rPr>
        <w:t>JSZC-321182-ZJSK-C2024-0003</w:t>
      </w:r>
      <w:r>
        <w:rPr>
          <w:rFonts w:hint="eastAsia" w:ascii="宋体" w:hAnsi="宋体" w:eastAsia="宋体" w:cs="宋体"/>
          <w:color w:val="auto"/>
          <w:sz w:val="24"/>
          <w:szCs w:val="24"/>
        </w:rPr>
        <w:t xml:space="preserve">。 </w:t>
      </w:r>
    </w:p>
    <w:p w14:paraId="22D34B8C">
      <w:pPr>
        <w:pStyle w:val="3"/>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2、项目名称：</w:t>
      </w:r>
      <w:r>
        <w:rPr>
          <w:rFonts w:hint="eastAsia" w:ascii="宋体" w:hAnsi="宋体" w:cs="宋体"/>
          <w:color w:val="auto"/>
          <w:sz w:val="24"/>
          <w:szCs w:val="24"/>
          <w:lang w:eastAsia="zh-CN"/>
        </w:rPr>
        <w:t>扬中市西来桥镇垃圾收运市场化运作项目</w:t>
      </w:r>
      <w:r>
        <w:rPr>
          <w:rFonts w:hint="eastAsia" w:ascii="宋体" w:hAnsi="宋体" w:eastAsia="宋体" w:cs="宋体"/>
          <w:color w:val="auto"/>
          <w:sz w:val="24"/>
          <w:szCs w:val="24"/>
          <w:lang w:eastAsia="zh-CN"/>
        </w:rPr>
        <w:t>服务项目</w:t>
      </w:r>
      <w:r>
        <w:rPr>
          <w:rFonts w:hint="eastAsia" w:ascii="宋体" w:hAnsi="宋体" w:eastAsia="宋体" w:cs="宋体"/>
          <w:color w:val="auto"/>
          <w:sz w:val="24"/>
          <w:szCs w:val="24"/>
        </w:rPr>
        <w:t>。</w:t>
      </w:r>
    </w:p>
    <w:p w14:paraId="03FEF00F">
      <w:pPr>
        <w:pStyle w:val="3"/>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3、采购预算：</w:t>
      </w:r>
      <w:r>
        <w:rPr>
          <w:rFonts w:hint="eastAsia" w:ascii="宋体" w:hAnsi="宋体" w:cs="宋体"/>
          <w:color w:val="auto"/>
          <w:sz w:val="24"/>
          <w:szCs w:val="24"/>
          <w:lang w:val="en-US" w:eastAsia="zh-CN"/>
        </w:rPr>
        <w:t>160</w:t>
      </w:r>
      <w:r>
        <w:rPr>
          <w:rFonts w:hint="eastAsia" w:ascii="宋体" w:hAnsi="宋体" w:eastAsia="宋体" w:cs="宋体"/>
          <w:color w:val="auto"/>
          <w:sz w:val="24"/>
          <w:szCs w:val="24"/>
        </w:rPr>
        <w:t>万元</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年共计</w:t>
      </w:r>
      <w:r>
        <w:rPr>
          <w:rFonts w:hint="eastAsia" w:ascii="宋体" w:hAnsi="宋体" w:cs="宋体"/>
          <w:color w:val="auto"/>
          <w:sz w:val="24"/>
          <w:szCs w:val="24"/>
          <w:lang w:val="en-US" w:eastAsia="zh-CN"/>
        </w:rPr>
        <w:t>320</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rPr>
        <w:t>。</w:t>
      </w:r>
    </w:p>
    <w:p w14:paraId="63796A5D">
      <w:pPr>
        <w:pStyle w:val="3"/>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4、最高限价：</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39</w:t>
      </w:r>
      <w:r>
        <w:rPr>
          <w:rFonts w:hint="eastAsia" w:ascii="宋体" w:hAnsi="宋体" w:eastAsia="宋体" w:cs="宋体"/>
          <w:color w:val="auto"/>
          <w:sz w:val="24"/>
          <w:szCs w:val="24"/>
        </w:rPr>
        <w:t>万元</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年共计</w:t>
      </w:r>
      <w:r>
        <w:rPr>
          <w:rFonts w:hint="eastAsia" w:ascii="宋体" w:hAnsi="宋体" w:cs="宋体"/>
          <w:color w:val="auto"/>
          <w:sz w:val="24"/>
          <w:szCs w:val="24"/>
          <w:lang w:val="en-US" w:eastAsia="zh-CN"/>
        </w:rPr>
        <w:t>278</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rPr>
        <w:t>。</w:t>
      </w:r>
    </w:p>
    <w:p w14:paraId="614F4E89">
      <w:pPr>
        <w:pStyle w:val="3"/>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w:t>
      </w:r>
      <w:r>
        <w:rPr>
          <w:rFonts w:hint="eastAsia" w:ascii="宋体" w:hAnsi="宋体" w:eastAsia="宋体" w:cs="宋体"/>
          <w:color w:val="0000FF"/>
          <w:sz w:val="24"/>
          <w:szCs w:val="24"/>
          <w:highlight w:val="none"/>
          <w:u w:val="single"/>
          <w:lang w:eastAsia="zh-CN"/>
        </w:rPr>
        <w:t>扬中市</w:t>
      </w:r>
      <w:r>
        <w:rPr>
          <w:rFonts w:hint="eastAsia" w:ascii="宋体" w:hAnsi="宋体" w:eastAsia="宋体" w:cs="宋体"/>
          <w:color w:val="0000FF"/>
          <w:sz w:val="24"/>
          <w:szCs w:val="24"/>
          <w:highlight w:val="none"/>
          <w:u w:val="single"/>
          <w:lang w:val="en-US" w:eastAsia="zh-CN"/>
        </w:rPr>
        <w:t>西来桥镇</w:t>
      </w:r>
      <w:r>
        <w:rPr>
          <w:rFonts w:hint="eastAsia" w:ascii="宋体" w:hAnsi="宋体" w:eastAsia="宋体" w:cs="宋体"/>
          <w:color w:val="0000FF"/>
          <w:sz w:val="24"/>
          <w:szCs w:val="24"/>
          <w:highlight w:val="none"/>
          <w:u w:val="single"/>
        </w:rPr>
        <w:t>的集镇区域内垃圾的分拣与收集、西来桥镇垃圾的转运与（垃圾中转站-处置终端）处置（临时堆放点-处置终端）等服务</w:t>
      </w:r>
      <w:r>
        <w:rPr>
          <w:rFonts w:hint="eastAsia" w:ascii="宋体" w:hAnsi="宋体" w:eastAsia="宋体" w:cs="宋体"/>
          <w:color w:val="0000FF"/>
          <w:sz w:val="24"/>
          <w:szCs w:val="24"/>
          <w:highlight w:val="none"/>
        </w:rPr>
        <w:t>，</w:t>
      </w:r>
      <w:r>
        <w:rPr>
          <w:rFonts w:hint="eastAsia" w:ascii="宋体" w:hAnsi="宋体" w:eastAsia="宋体" w:cs="宋体"/>
          <w:color w:val="auto"/>
          <w:sz w:val="24"/>
          <w:szCs w:val="24"/>
          <w:highlight w:val="none"/>
        </w:rPr>
        <w:t>具体详见</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第四部分采购需求。</w:t>
      </w:r>
    </w:p>
    <w:p w14:paraId="3B85F343">
      <w:pPr>
        <w:pStyle w:val="3"/>
        <w:spacing w:line="360" w:lineRule="auto"/>
        <w:ind w:firstLine="560"/>
        <w:rPr>
          <w:rFonts w:hint="eastAsia" w:ascii="宋体" w:hAnsi="宋体" w:eastAsia="宋体" w:cs="宋体"/>
          <w:color w:val="auto"/>
          <w:sz w:val="24"/>
          <w:szCs w:val="24"/>
        </w:rPr>
      </w:pPr>
      <w:r>
        <w:rPr>
          <w:rFonts w:hint="eastAsia" w:ascii="宋体" w:hAnsi="宋体" w:eastAsia="宋体" w:cs="宋体"/>
          <w:color w:val="auto"/>
          <w:sz w:val="24"/>
          <w:szCs w:val="24"/>
        </w:rPr>
        <w:t>6、合同履行期限：</w:t>
      </w:r>
      <w:r>
        <w:rPr>
          <w:rFonts w:hint="eastAsia" w:ascii="宋体" w:hAnsi="宋体" w:eastAsia="宋体" w:cs="宋体"/>
          <w:color w:val="0000FF"/>
          <w:sz w:val="24"/>
          <w:szCs w:val="24"/>
          <w:lang w:val="en-US" w:eastAsia="zh-CN"/>
        </w:rPr>
        <w:t>二</w:t>
      </w:r>
      <w:r>
        <w:rPr>
          <w:rFonts w:hint="eastAsia" w:ascii="宋体" w:hAnsi="宋体" w:eastAsia="宋体" w:cs="宋体"/>
          <w:color w:val="0000FF"/>
          <w:sz w:val="24"/>
          <w:szCs w:val="24"/>
        </w:rPr>
        <w:t>年</w:t>
      </w:r>
      <w:r>
        <w:rPr>
          <w:rFonts w:hint="eastAsia" w:ascii="宋体" w:hAnsi="宋体" w:eastAsia="宋体" w:cs="宋体"/>
          <w:color w:val="auto"/>
          <w:sz w:val="24"/>
          <w:szCs w:val="24"/>
        </w:rPr>
        <w:t>。</w:t>
      </w:r>
    </w:p>
    <w:p w14:paraId="6B952AB6">
      <w:pPr>
        <w:widowControl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7、</w:t>
      </w:r>
      <w:r>
        <w:rPr>
          <w:rFonts w:hint="eastAsia" w:ascii="宋体" w:hAnsi="宋体" w:eastAsia="宋体" w:cs="宋体"/>
          <w:color w:val="auto"/>
          <w:sz w:val="24"/>
          <w:szCs w:val="24"/>
          <w:highlight w:val="none"/>
        </w:rPr>
        <w:t>本项目是否仅面向中小微企业采购：是 ☑  否□；</w:t>
      </w:r>
    </w:p>
    <w:p w14:paraId="5BDFFF47">
      <w:pPr>
        <w:pStyle w:val="3"/>
        <w:spacing w:line="360" w:lineRule="auto"/>
        <w:ind w:firstLine="560"/>
        <w:rPr>
          <w:rFonts w:hint="eastAsia" w:ascii="宋体" w:hAnsi="宋体" w:eastAsia="宋体" w:cs="Times New Roman"/>
          <w:color w:val="000000"/>
          <w:sz w:val="24"/>
          <w:szCs w:val="24"/>
          <w:highlight w:val="none"/>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Times New Roman"/>
          <w:color w:val="000000"/>
          <w:sz w:val="24"/>
          <w:szCs w:val="24"/>
          <w:highlight w:val="none"/>
          <w:lang w:val="en-US" w:eastAsia="zh-CN" w:bidi="ar-SA"/>
        </w:rPr>
        <w:t>采购方式：竞争性磋商。</w:t>
      </w:r>
    </w:p>
    <w:p w14:paraId="5D946D1B">
      <w:pPr>
        <w:pStyle w:val="240"/>
        <w:spacing w:before="145" w:after="145" w:line="440" w:lineRule="exact"/>
        <w:ind w:firstLine="373"/>
        <w:rPr>
          <w:color w:val="000000"/>
          <w:sz w:val="24"/>
          <w:szCs w:val="24"/>
          <w:highlight w:val="none"/>
        </w:rPr>
      </w:pPr>
      <w:bookmarkStart w:id="12" w:name="_Toc17150"/>
      <w:bookmarkStart w:id="13" w:name="_Toc23077"/>
      <w:bookmarkStart w:id="14" w:name="_Toc28603"/>
      <w:bookmarkStart w:id="15" w:name="_Toc4639"/>
      <w:bookmarkStart w:id="16" w:name="_Toc17564"/>
      <w:bookmarkStart w:id="17" w:name="_Toc11082"/>
      <w:bookmarkStart w:id="18" w:name="_Toc29052"/>
      <w:bookmarkStart w:id="19" w:name="_Toc19040"/>
      <w:r>
        <w:rPr>
          <w:rFonts w:hint="eastAsia"/>
          <w:color w:val="000000"/>
          <w:sz w:val="24"/>
          <w:szCs w:val="24"/>
          <w:highlight w:val="none"/>
        </w:rPr>
        <w:t>二、申请人的资格要求</w:t>
      </w:r>
    </w:p>
    <w:p w14:paraId="163B0707">
      <w:pPr>
        <w:spacing w:line="440" w:lineRule="exact"/>
        <w:ind w:firstLine="480"/>
        <w:rPr>
          <w:rFonts w:hint="eastAsia" w:ascii="宋体" w:hAnsi="宋体"/>
          <w:color w:val="000000"/>
          <w:sz w:val="24"/>
          <w:szCs w:val="24"/>
          <w:highlight w:val="none"/>
        </w:rPr>
      </w:pPr>
      <w:bookmarkStart w:id="20" w:name="_Toc38985265"/>
      <w:bookmarkStart w:id="21" w:name="_Toc35393792"/>
      <w:bookmarkStart w:id="22" w:name="_Toc28359004"/>
      <w:bookmarkStart w:id="23" w:name="_Toc35393623"/>
      <w:bookmarkStart w:id="24" w:name="_Toc28359081"/>
      <w:r>
        <w:rPr>
          <w:rFonts w:hint="eastAsia" w:ascii="宋体" w:hAnsi="宋体"/>
          <w:color w:val="000000"/>
          <w:sz w:val="24"/>
          <w:szCs w:val="24"/>
          <w:highlight w:val="none"/>
        </w:rPr>
        <w:t>（一</w:t>
      </w:r>
      <w:r>
        <w:rPr>
          <w:rFonts w:ascii="宋体" w:hAnsi="宋体"/>
          <w:color w:val="000000"/>
          <w:sz w:val="24"/>
          <w:szCs w:val="24"/>
          <w:highlight w:val="none"/>
        </w:rPr>
        <w:t>）</w:t>
      </w:r>
      <w:r>
        <w:rPr>
          <w:rFonts w:hint="eastAsia" w:ascii="宋体" w:hAnsi="宋体"/>
          <w:color w:val="000000"/>
          <w:sz w:val="24"/>
          <w:szCs w:val="24"/>
          <w:highlight w:val="none"/>
        </w:rPr>
        <w:t>通用</w:t>
      </w:r>
      <w:r>
        <w:rPr>
          <w:rFonts w:ascii="宋体" w:hAnsi="宋体"/>
          <w:color w:val="000000"/>
          <w:sz w:val="24"/>
          <w:szCs w:val="24"/>
          <w:highlight w:val="none"/>
        </w:rPr>
        <w:t>资格要求</w:t>
      </w:r>
    </w:p>
    <w:p w14:paraId="6986C48F">
      <w:pPr>
        <w:spacing w:line="440" w:lineRule="exact"/>
        <w:ind w:firstLine="480"/>
        <w:rPr>
          <w:rFonts w:ascii="宋体" w:hAnsi="宋体"/>
          <w:color w:val="000000"/>
          <w:sz w:val="24"/>
          <w:szCs w:val="24"/>
          <w:highlight w:val="none"/>
        </w:rPr>
      </w:pPr>
      <w:r>
        <w:rPr>
          <w:rFonts w:hint="eastAsia" w:ascii="宋体" w:hAnsi="宋体"/>
          <w:color w:val="000000"/>
          <w:sz w:val="24"/>
          <w:szCs w:val="24"/>
          <w:highlight w:val="none"/>
        </w:rPr>
        <w:t>1.满足《中华人民共和国政府法》第二十二条规定，并提供下列材料：</w:t>
      </w:r>
    </w:p>
    <w:p w14:paraId="1D8CADE1">
      <w:pPr>
        <w:spacing w:line="440" w:lineRule="exact"/>
        <w:ind w:firstLine="560"/>
        <w:rPr>
          <w:rFonts w:ascii="宋体" w:hAnsi="宋体"/>
          <w:color w:val="000000"/>
          <w:sz w:val="24"/>
          <w:szCs w:val="24"/>
          <w:highlight w:val="none"/>
        </w:rPr>
      </w:pPr>
      <w:r>
        <w:rPr>
          <w:rFonts w:hint="eastAsia" w:ascii="宋体" w:hAnsi="宋体"/>
          <w:color w:val="000000"/>
          <w:sz w:val="24"/>
          <w:szCs w:val="24"/>
          <w:highlight w:val="none"/>
        </w:rPr>
        <w:t>A.具有独立承担民事责任的能力（</w:t>
      </w:r>
      <w:r>
        <w:rPr>
          <w:rFonts w:ascii="宋体" w:hAnsi="宋体"/>
          <w:color w:val="000000"/>
          <w:sz w:val="24"/>
          <w:szCs w:val="24"/>
          <w:highlight w:val="none"/>
        </w:rPr>
        <w:t>提供法人或者其他组织的营业执照等证明文件，自然人的身份证明；如供应商为事业单位，请提供事业单位法人证书</w:t>
      </w:r>
      <w:r>
        <w:rPr>
          <w:rFonts w:hint="eastAsia" w:ascii="宋体" w:hAnsi="宋体"/>
          <w:color w:val="000000"/>
          <w:sz w:val="24"/>
          <w:szCs w:val="24"/>
          <w:highlight w:val="none"/>
        </w:rPr>
        <w:t>）；</w:t>
      </w:r>
    </w:p>
    <w:p w14:paraId="728CDB84">
      <w:pPr>
        <w:spacing w:line="440" w:lineRule="exact"/>
        <w:ind w:firstLine="480"/>
        <w:rPr>
          <w:rFonts w:hint="eastAsia" w:ascii="宋体" w:hAnsi="宋体"/>
          <w:color w:val="000000"/>
          <w:sz w:val="24"/>
          <w:szCs w:val="24"/>
          <w:highlight w:val="none"/>
        </w:rPr>
      </w:pPr>
      <w:r>
        <w:rPr>
          <w:rFonts w:hint="eastAsia" w:ascii="宋体" w:hAnsi="宋体"/>
          <w:color w:val="000000"/>
          <w:sz w:val="24"/>
          <w:szCs w:val="24"/>
          <w:highlight w:val="none"/>
        </w:rPr>
        <w:t>B.具有良好的商业信誉和健全的财务会计制度</w:t>
      </w:r>
      <w:r>
        <w:rPr>
          <w:rFonts w:hint="eastAsia" w:ascii="宋体" w:hAnsi="宋体"/>
          <w:color w:val="000000"/>
          <w:sz w:val="24"/>
          <w:szCs w:val="28"/>
          <w:highlight w:val="none"/>
        </w:rPr>
        <w:t>【提供202</w:t>
      </w:r>
      <w:r>
        <w:rPr>
          <w:rFonts w:hint="eastAsia" w:ascii="宋体" w:hAnsi="宋体"/>
          <w:color w:val="000000"/>
          <w:sz w:val="24"/>
          <w:szCs w:val="28"/>
          <w:highlight w:val="none"/>
          <w:lang w:val="en-US" w:eastAsia="zh-CN"/>
        </w:rPr>
        <w:t>3</w:t>
      </w:r>
      <w:r>
        <w:rPr>
          <w:rFonts w:hint="eastAsia" w:ascii="宋体" w:hAnsi="宋体"/>
          <w:color w:val="000000"/>
          <w:sz w:val="24"/>
          <w:szCs w:val="28"/>
          <w:highlight w:val="none"/>
        </w:rPr>
        <w:t>年度财务报告（成立不满一年的提供至少一个月财务报告），或银行出具的资信证明，或财政部门认可的政府专业担保机构出具的投标担保函】</w:t>
      </w:r>
      <w:r>
        <w:rPr>
          <w:rFonts w:hint="eastAsia" w:ascii="宋体" w:hAnsi="宋体"/>
          <w:color w:val="000000"/>
          <w:sz w:val="24"/>
          <w:szCs w:val="24"/>
          <w:highlight w:val="none"/>
        </w:rPr>
        <w:t>；</w:t>
      </w:r>
    </w:p>
    <w:p w14:paraId="0544B487">
      <w:pPr>
        <w:spacing w:line="440" w:lineRule="exact"/>
        <w:ind w:firstLine="560"/>
        <w:rPr>
          <w:rFonts w:ascii="宋体" w:hAnsi="宋体"/>
          <w:color w:val="000000"/>
          <w:sz w:val="24"/>
          <w:szCs w:val="24"/>
          <w:highlight w:val="none"/>
        </w:rPr>
      </w:pPr>
      <w:r>
        <w:rPr>
          <w:rFonts w:hint="eastAsia" w:ascii="宋体" w:hAnsi="宋体"/>
          <w:color w:val="000000"/>
          <w:sz w:val="24"/>
          <w:szCs w:val="24"/>
          <w:highlight w:val="none"/>
        </w:rPr>
        <w:t>C.具有履行合同所必需的设备和专业技术能力{提供</w:t>
      </w:r>
      <w:r>
        <w:rPr>
          <w:rFonts w:hint="eastAsia" w:ascii="宋体" w:hAnsi="宋体"/>
          <w:color w:val="000000"/>
          <w:sz w:val="24"/>
          <w:szCs w:val="24"/>
          <w:highlight w:val="none"/>
          <w:lang w:eastAsia="zh-CN"/>
        </w:rPr>
        <w:t>供应商</w:t>
      </w:r>
      <w:r>
        <w:rPr>
          <w:rFonts w:hint="eastAsia" w:ascii="宋体" w:hAnsi="宋体"/>
          <w:color w:val="000000"/>
          <w:sz w:val="24"/>
          <w:szCs w:val="24"/>
          <w:highlight w:val="none"/>
        </w:rPr>
        <w:t>相关信息一览表（见</w:t>
      </w:r>
      <w:r>
        <w:rPr>
          <w:rFonts w:hint="eastAsia" w:ascii="宋体" w:hAnsi="宋体"/>
          <w:color w:val="000000"/>
          <w:sz w:val="24"/>
          <w:szCs w:val="24"/>
          <w:highlight w:val="none"/>
          <w:lang w:eastAsia="zh-CN"/>
        </w:rPr>
        <w:t>响应文件</w:t>
      </w:r>
      <w:r>
        <w:rPr>
          <w:rFonts w:hint="eastAsia" w:ascii="宋体" w:hAnsi="宋体"/>
          <w:color w:val="000000"/>
          <w:sz w:val="24"/>
          <w:szCs w:val="24"/>
          <w:highlight w:val="none"/>
        </w:rPr>
        <w:t>格式）；</w:t>
      </w:r>
    </w:p>
    <w:p w14:paraId="26A78A3A">
      <w:pPr>
        <w:spacing w:line="440" w:lineRule="exact"/>
        <w:ind w:firstLine="560"/>
        <w:rPr>
          <w:rFonts w:ascii="宋体" w:hAnsi="宋体"/>
          <w:color w:val="000000"/>
          <w:sz w:val="24"/>
          <w:szCs w:val="24"/>
          <w:highlight w:val="none"/>
        </w:rPr>
      </w:pPr>
      <w:r>
        <w:rPr>
          <w:rFonts w:hint="eastAsia" w:ascii="宋体" w:hAnsi="宋体"/>
          <w:color w:val="000000"/>
          <w:sz w:val="24"/>
          <w:szCs w:val="24"/>
          <w:highlight w:val="none"/>
        </w:rPr>
        <w:t>D.提供参加本次政府活动前</w:t>
      </w:r>
      <w:r>
        <w:rPr>
          <w:rFonts w:hint="eastAsia" w:ascii="宋体" w:hAnsi="宋体"/>
          <w:color w:val="000000"/>
          <w:sz w:val="24"/>
          <w:szCs w:val="24"/>
          <w:highlight w:val="none"/>
          <w:lang w:val="en-US" w:eastAsia="zh-CN"/>
        </w:rPr>
        <w:t>三</w:t>
      </w:r>
      <w:r>
        <w:rPr>
          <w:rFonts w:hint="eastAsia" w:ascii="宋体" w:hAnsi="宋体"/>
          <w:color w:val="000000"/>
          <w:sz w:val="24"/>
          <w:szCs w:val="24"/>
          <w:highlight w:val="none"/>
          <w:lang w:eastAsia="zh-CN"/>
        </w:rPr>
        <w:t>年</w:t>
      </w:r>
      <w:r>
        <w:rPr>
          <w:rFonts w:hint="eastAsia" w:ascii="宋体" w:hAnsi="宋体"/>
          <w:color w:val="000000"/>
          <w:sz w:val="24"/>
          <w:szCs w:val="24"/>
          <w:highlight w:val="none"/>
        </w:rPr>
        <w:t>内，在经营活动中没有重大违法记录的承诺函（见投标函第7条）；</w:t>
      </w:r>
    </w:p>
    <w:p w14:paraId="5C5CD719">
      <w:pPr>
        <w:spacing w:line="440" w:lineRule="exact"/>
        <w:ind w:firstLine="560"/>
        <w:rPr>
          <w:rFonts w:ascii="宋体" w:hAnsi="宋体"/>
          <w:color w:val="000000"/>
          <w:sz w:val="24"/>
          <w:szCs w:val="24"/>
          <w:highlight w:val="none"/>
        </w:rPr>
      </w:pPr>
      <w:r>
        <w:rPr>
          <w:rFonts w:hint="eastAsia" w:ascii="宋体" w:hAnsi="宋体"/>
          <w:color w:val="000000"/>
          <w:sz w:val="24"/>
          <w:szCs w:val="24"/>
          <w:highlight w:val="none"/>
        </w:rPr>
        <w:t>E.依法缴纳税收和社会保障资金的相关材料（提供提交</w:t>
      </w:r>
      <w:r>
        <w:rPr>
          <w:rFonts w:hint="eastAsia" w:ascii="宋体" w:hAnsi="宋体"/>
          <w:color w:val="000000"/>
          <w:sz w:val="24"/>
          <w:szCs w:val="24"/>
          <w:highlight w:val="none"/>
          <w:lang w:eastAsia="zh-CN"/>
        </w:rPr>
        <w:t>响应文件</w:t>
      </w:r>
      <w:r>
        <w:rPr>
          <w:rFonts w:hint="eastAsia" w:ascii="宋体" w:hAnsi="宋体"/>
          <w:color w:val="000000"/>
          <w:sz w:val="24"/>
          <w:szCs w:val="24"/>
          <w:highlight w:val="none"/>
        </w:rPr>
        <w:t>截止时间前一年内至少一个月依法缴纳税收及缴纳社会保障资金的证明材料。供应商依法享受缓缴、免缴税收、社会保障资金的提供证明材料）；</w:t>
      </w:r>
    </w:p>
    <w:p w14:paraId="5ECF276D">
      <w:pPr>
        <w:spacing w:line="440" w:lineRule="exact"/>
        <w:ind w:firstLine="562"/>
        <w:rPr>
          <w:rFonts w:ascii="宋体" w:hAnsi="宋体"/>
          <w:b/>
          <w:bCs/>
          <w:color w:val="000000"/>
          <w:sz w:val="24"/>
          <w:szCs w:val="24"/>
          <w:highlight w:val="none"/>
        </w:rPr>
      </w:pPr>
      <w:r>
        <w:rPr>
          <w:rFonts w:hint="eastAsia" w:ascii="宋体" w:hAnsi="宋体"/>
          <w:b/>
          <w:bCs/>
          <w:color w:val="000000"/>
          <w:sz w:val="24"/>
          <w:szCs w:val="24"/>
          <w:highlight w:val="none"/>
        </w:rPr>
        <w:t>注：①按</w:t>
      </w:r>
      <w:r>
        <w:rPr>
          <w:rFonts w:ascii="宋体" w:hAnsi="宋体"/>
          <w:b/>
          <w:bCs/>
          <w:color w:val="000000"/>
          <w:sz w:val="24"/>
          <w:szCs w:val="24"/>
          <w:highlight w:val="none"/>
        </w:rPr>
        <w:t>扬财购〔</w:t>
      </w:r>
      <w:r>
        <w:rPr>
          <w:rFonts w:hint="eastAsia" w:ascii="宋体" w:hAnsi="宋体"/>
          <w:b/>
          <w:bCs/>
          <w:color w:val="000000"/>
          <w:sz w:val="24"/>
          <w:szCs w:val="24"/>
          <w:highlight w:val="none"/>
        </w:rPr>
        <w:t>2022</w:t>
      </w:r>
      <w:r>
        <w:rPr>
          <w:rFonts w:ascii="宋体" w:hAnsi="宋体"/>
          <w:b/>
          <w:bCs/>
          <w:color w:val="000000"/>
          <w:sz w:val="24"/>
          <w:szCs w:val="24"/>
          <w:highlight w:val="none"/>
        </w:rPr>
        <w:t>〕1</w:t>
      </w:r>
      <w:r>
        <w:rPr>
          <w:rFonts w:hint="eastAsia" w:ascii="宋体" w:hAnsi="宋体"/>
          <w:b/>
          <w:bCs/>
          <w:color w:val="000000"/>
          <w:sz w:val="24"/>
          <w:szCs w:val="24"/>
          <w:highlight w:val="none"/>
        </w:rPr>
        <w:t>7</w:t>
      </w:r>
      <w:r>
        <w:rPr>
          <w:rFonts w:ascii="宋体" w:hAnsi="宋体"/>
          <w:b/>
          <w:bCs/>
          <w:color w:val="000000"/>
          <w:sz w:val="24"/>
          <w:szCs w:val="24"/>
          <w:highlight w:val="none"/>
        </w:rPr>
        <w:t>号《关于进一步降低政府活动成本减轻政府供应商负担的通知》</w:t>
      </w:r>
      <w:r>
        <w:rPr>
          <w:rFonts w:hint="eastAsia" w:ascii="宋体" w:hAnsi="宋体"/>
          <w:b/>
          <w:bCs/>
          <w:color w:val="000000"/>
          <w:sz w:val="24"/>
          <w:szCs w:val="24"/>
          <w:highlight w:val="none"/>
        </w:rPr>
        <w:t>本项目</w:t>
      </w:r>
      <w:r>
        <w:rPr>
          <w:rFonts w:ascii="宋体" w:hAnsi="宋体"/>
          <w:b/>
          <w:bCs/>
          <w:color w:val="000000"/>
          <w:sz w:val="24"/>
          <w:szCs w:val="24"/>
          <w:highlight w:val="none"/>
        </w:rPr>
        <w:t>申请人的资格条件采取</w:t>
      </w:r>
      <w:r>
        <w:rPr>
          <w:rFonts w:hint="eastAsia" w:ascii="宋体" w:hAnsi="宋体"/>
          <w:b/>
          <w:bCs/>
          <w:color w:val="000000"/>
          <w:sz w:val="24"/>
          <w:szCs w:val="24"/>
          <w:highlight w:val="none"/>
        </w:rPr>
        <w:t>“</w:t>
      </w:r>
      <w:r>
        <w:rPr>
          <w:rFonts w:ascii="宋体" w:hAnsi="宋体"/>
          <w:b/>
          <w:bCs/>
          <w:color w:val="000000"/>
          <w:sz w:val="24"/>
          <w:szCs w:val="24"/>
          <w:highlight w:val="none"/>
        </w:rPr>
        <w:t>信用承诺制</w:t>
      </w:r>
      <w:r>
        <w:rPr>
          <w:rFonts w:hint="eastAsia" w:ascii="宋体" w:hAnsi="宋体"/>
          <w:b/>
          <w:bCs/>
          <w:color w:val="000000"/>
          <w:sz w:val="24"/>
          <w:szCs w:val="24"/>
          <w:highlight w:val="none"/>
        </w:rPr>
        <w:t>”，资格要求</w:t>
      </w:r>
      <w:r>
        <w:rPr>
          <w:rFonts w:ascii="宋体" w:hAnsi="宋体"/>
          <w:b/>
          <w:bCs/>
          <w:color w:val="000000"/>
          <w:sz w:val="24"/>
          <w:szCs w:val="24"/>
          <w:highlight w:val="none"/>
        </w:rPr>
        <w:t>第</w:t>
      </w:r>
      <w:r>
        <w:rPr>
          <w:rFonts w:hint="eastAsia" w:ascii="宋体" w:hAnsi="宋体"/>
          <w:b/>
          <w:bCs/>
          <w:color w:val="000000"/>
          <w:sz w:val="24"/>
          <w:szCs w:val="24"/>
          <w:highlight w:val="none"/>
        </w:rPr>
        <w:t>B</w:t>
      </w:r>
      <w:r>
        <w:rPr>
          <w:rFonts w:ascii="宋体" w:hAnsi="宋体"/>
          <w:b/>
          <w:bCs/>
          <w:color w:val="000000"/>
          <w:sz w:val="24"/>
          <w:szCs w:val="24"/>
          <w:highlight w:val="none"/>
        </w:rPr>
        <w:t>至第</w:t>
      </w:r>
      <w:r>
        <w:rPr>
          <w:rFonts w:hint="eastAsia" w:ascii="宋体" w:hAnsi="宋体"/>
          <w:b/>
          <w:bCs/>
          <w:color w:val="000000"/>
          <w:sz w:val="24"/>
          <w:szCs w:val="24"/>
          <w:highlight w:val="none"/>
        </w:rPr>
        <w:t>E</w:t>
      </w:r>
      <w:r>
        <w:rPr>
          <w:rFonts w:ascii="宋体" w:hAnsi="宋体"/>
          <w:b/>
          <w:bCs/>
          <w:color w:val="000000"/>
          <w:sz w:val="24"/>
          <w:szCs w:val="24"/>
          <w:highlight w:val="none"/>
        </w:rPr>
        <w:t>项，供应商可选择提供资格承诺函</w:t>
      </w:r>
      <w:r>
        <w:rPr>
          <w:rFonts w:hint="eastAsia" w:ascii="宋体" w:hAnsi="宋体"/>
          <w:b/>
          <w:bCs/>
          <w:color w:val="000000"/>
          <w:sz w:val="24"/>
          <w:szCs w:val="24"/>
          <w:highlight w:val="none"/>
        </w:rPr>
        <w:t>（见</w:t>
      </w:r>
      <w:r>
        <w:rPr>
          <w:rFonts w:hint="eastAsia" w:ascii="宋体" w:hAnsi="宋体"/>
          <w:b/>
          <w:bCs/>
          <w:color w:val="000000"/>
          <w:sz w:val="24"/>
          <w:szCs w:val="24"/>
          <w:highlight w:val="none"/>
          <w:lang w:eastAsia="zh-CN"/>
        </w:rPr>
        <w:t>响应文件</w:t>
      </w:r>
      <w:r>
        <w:rPr>
          <w:rFonts w:hint="eastAsia" w:ascii="宋体" w:hAnsi="宋体"/>
          <w:b/>
          <w:bCs/>
          <w:color w:val="000000"/>
          <w:sz w:val="24"/>
          <w:szCs w:val="24"/>
          <w:highlight w:val="none"/>
        </w:rPr>
        <w:t>格式）</w:t>
      </w:r>
      <w:r>
        <w:rPr>
          <w:rFonts w:ascii="宋体" w:hAnsi="宋体"/>
          <w:b/>
          <w:bCs/>
          <w:color w:val="000000"/>
          <w:sz w:val="24"/>
          <w:szCs w:val="24"/>
          <w:highlight w:val="none"/>
        </w:rPr>
        <w:t>，在</w:t>
      </w:r>
      <w:r>
        <w:rPr>
          <w:rFonts w:hint="eastAsia" w:ascii="宋体" w:hAnsi="宋体"/>
          <w:b/>
          <w:bCs/>
          <w:color w:val="000000"/>
          <w:sz w:val="24"/>
          <w:szCs w:val="24"/>
          <w:highlight w:val="none"/>
          <w:lang w:eastAsia="zh-CN"/>
        </w:rPr>
        <w:t>响应文件</w:t>
      </w:r>
      <w:r>
        <w:rPr>
          <w:rFonts w:ascii="宋体" w:hAnsi="宋体"/>
          <w:b/>
          <w:bCs/>
          <w:color w:val="000000"/>
          <w:sz w:val="24"/>
          <w:szCs w:val="24"/>
          <w:highlight w:val="none"/>
        </w:rPr>
        <w:t>中无需再提供与</w:t>
      </w:r>
      <w:r>
        <w:rPr>
          <w:rFonts w:hint="eastAsia" w:ascii="宋体" w:hAnsi="宋体"/>
          <w:b/>
          <w:bCs/>
          <w:color w:val="000000"/>
          <w:sz w:val="24"/>
          <w:szCs w:val="24"/>
          <w:highlight w:val="none"/>
        </w:rPr>
        <w:t>第B至第E项</w:t>
      </w:r>
      <w:r>
        <w:rPr>
          <w:rFonts w:ascii="宋体" w:hAnsi="宋体"/>
          <w:b/>
          <w:bCs/>
          <w:color w:val="000000"/>
          <w:sz w:val="24"/>
          <w:szCs w:val="24"/>
          <w:highlight w:val="none"/>
        </w:rPr>
        <w:t>相关的证明材料即可参加活动。</w:t>
      </w:r>
    </w:p>
    <w:p w14:paraId="77A67C1C">
      <w:pPr>
        <w:spacing w:line="440" w:lineRule="exact"/>
        <w:ind w:firstLine="562"/>
        <w:rPr>
          <w:rFonts w:hint="eastAsia" w:ascii="宋体" w:hAnsi="宋体"/>
          <w:b/>
          <w:bCs/>
          <w:color w:val="000000"/>
          <w:sz w:val="24"/>
          <w:szCs w:val="24"/>
          <w:highlight w:val="none"/>
        </w:rPr>
      </w:pPr>
      <w:r>
        <w:rPr>
          <w:rFonts w:hint="eastAsia" w:ascii="宋体" w:hAnsi="宋体"/>
          <w:b/>
          <w:bCs/>
          <w:color w:val="000000"/>
          <w:sz w:val="24"/>
          <w:szCs w:val="24"/>
          <w:highlight w:val="none"/>
        </w:rPr>
        <w:t>②供应商可自行选择是否提供承诺函，若不提供承诺函的，应按</w:t>
      </w:r>
      <w:r>
        <w:rPr>
          <w:rFonts w:hint="eastAsia" w:ascii="宋体" w:hAnsi="宋体"/>
          <w:b/>
          <w:bCs/>
          <w:color w:val="000000"/>
          <w:sz w:val="24"/>
          <w:szCs w:val="24"/>
          <w:highlight w:val="none"/>
          <w:lang w:eastAsia="zh-CN"/>
        </w:rPr>
        <w:t>磋商文件</w:t>
      </w:r>
      <w:r>
        <w:rPr>
          <w:rFonts w:hint="eastAsia" w:ascii="宋体" w:hAnsi="宋体"/>
          <w:b/>
          <w:bCs/>
          <w:color w:val="000000"/>
          <w:sz w:val="24"/>
          <w:szCs w:val="24"/>
          <w:highlight w:val="none"/>
        </w:rPr>
        <w:t>要求提供相应的证明材料。</w:t>
      </w:r>
    </w:p>
    <w:p w14:paraId="1ECBADD3">
      <w:pPr>
        <w:spacing w:line="440" w:lineRule="exact"/>
        <w:ind w:firstLine="562"/>
        <w:rPr>
          <w:rFonts w:ascii="宋体" w:hAnsi="宋体"/>
          <w:b/>
          <w:bCs/>
          <w:color w:val="000000"/>
          <w:sz w:val="24"/>
          <w:szCs w:val="24"/>
          <w:highlight w:val="none"/>
        </w:rPr>
      </w:pPr>
      <w:r>
        <w:rPr>
          <w:rFonts w:hint="eastAsia" w:ascii="宋体" w:hAnsi="宋体"/>
          <w:b/>
          <w:bCs/>
          <w:color w:val="000000"/>
          <w:sz w:val="24"/>
          <w:szCs w:val="24"/>
          <w:highlight w:val="none"/>
        </w:rPr>
        <w:t>③</w:t>
      </w:r>
      <w:r>
        <w:rPr>
          <w:rFonts w:ascii="宋体" w:hAnsi="宋体"/>
          <w:b/>
          <w:bCs/>
          <w:color w:val="000000"/>
          <w:sz w:val="24"/>
          <w:szCs w:val="24"/>
          <w:highlight w:val="none"/>
        </w:rPr>
        <w:t>供应商应当</w:t>
      </w:r>
      <w:r>
        <w:rPr>
          <w:rFonts w:hint="eastAsia" w:ascii="宋体" w:hAnsi="宋体"/>
          <w:b/>
          <w:bCs/>
          <w:color w:val="000000"/>
          <w:sz w:val="24"/>
          <w:szCs w:val="24"/>
          <w:highlight w:val="none"/>
        </w:rPr>
        <w:t>遵循诚实</w:t>
      </w:r>
      <w:r>
        <w:rPr>
          <w:rFonts w:ascii="宋体" w:hAnsi="宋体"/>
          <w:b/>
          <w:bCs/>
          <w:color w:val="000000"/>
          <w:sz w:val="24"/>
          <w:szCs w:val="24"/>
          <w:highlight w:val="none"/>
        </w:rPr>
        <w:t>信用原则，不得作虚假承诺。供应商承诺不实的，属于提供虚假材料谋取中标、成交，应承担相应的法律责任。</w:t>
      </w:r>
    </w:p>
    <w:p w14:paraId="20AEE4FA">
      <w:pPr>
        <w:spacing w:line="440" w:lineRule="exact"/>
        <w:ind w:firstLine="480"/>
        <w:rPr>
          <w:rFonts w:hint="eastAsia" w:ascii="华文新魏" w:hAnsi="宋体" w:eastAsia="华文新魏"/>
          <w:color w:val="000000"/>
          <w:sz w:val="36"/>
          <w:szCs w:val="36"/>
          <w:highlight w:val="none"/>
        </w:rPr>
      </w:pPr>
      <w:r>
        <w:rPr>
          <w:rFonts w:hint="eastAsia" w:ascii="宋体" w:hAnsi="宋体"/>
          <w:color w:val="000000"/>
          <w:sz w:val="24"/>
          <w:szCs w:val="24"/>
          <w:highlight w:val="none"/>
        </w:rPr>
        <w:t>2.在“信用中国”网站（www.creditchina.gov.cn）查询，无被列入失信被执行人、重大税收违法案件当事人名单、政府严重失信行为记录名单及其他不符合《中华人民共和国政府法》第二十二条规定条件的信用记录。（</w:t>
      </w:r>
      <w:r>
        <w:rPr>
          <w:rFonts w:hint="eastAsia" w:ascii="宋体" w:hAnsi="宋体"/>
          <w:color w:val="000000"/>
          <w:sz w:val="24"/>
          <w:szCs w:val="24"/>
          <w:highlight w:val="none"/>
          <w:lang w:eastAsia="zh-CN"/>
        </w:rPr>
        <w:t>响应文件</w:t>
      </w:r>
      <w:r>
        <w:rPr>
          <w:rFonts w:hint="eastAsia" w:ascii="宋体" w:hAnsi="宋体"/>
          <w:color w:val="000000"/>
          <w:sz w:val="24"/>
          <w:szCs w:val="24"/>
          <w:highlight w:val="none"/>
        </w:rPr>
        <w:t>中无需提供证明材料）。</w:t>
      </w:r>
    </w:p>
    <w:p w14:paraId="10E222AC">
      <w:pPr>
        <w:spacing w:line="440" w:lineRule="exact"/>
        <w:ind w:firstLine="480"/>
        <w:rPr>
          <w:rFonts w:hint="eastAsia" w:ascii="宋体" w:hAnsi="宋体"/>
          <w:color w:val="000000"/>
          <w:sz w:val="24"/>
          <w:szCs w:val="24"/>
          <w:highlight w:val="none"/>
        </w:rPr>
      </w:pPr>
      <w:r>
        <w:rPr>
          <w:rFonts w:hint="eastAsia" w:ascii="宋体" w:hAnsi="宋体"/>
          <w:color w:val="000000"/>
          <w:sz w:val="24"/>
          <w:szCs w:val="24"/>
          <w:highlight w:val="none"/>
        </w:rPr>
        <w:t>3.落实政府政策需满足的资格要求：</w:t>
      </w:r>
    </w:p>
    <w:p w14:paraId="0AA7BC02">
      <w:pPr>
        <w:spacing w:line="440" w:lineRule="exact"/>
        <w:ind w:firstLine="480"/>
        <w:rPr>
          <w:rFonts w:hint="eastAsia" w:ascii="宋体" w:hAnsi="宋体"/>
          <w:color w:val="000000"/>
          <w:sz w:val="24"/>
          <w:szCs w:val="24"/>
          <w:highlight w:val="none"/>
        </w:rPr>
      </w:pPr>
      <w:r>
        <w:rPr>
          <w:rFonts w:hint="eastAsia" w:ascii="宋体" w:hAnsi="宋体"/>
          <w:color w:val="000000"/>
          <w:sz w:val="24"/>
          <w:szCs w:val="24"/>
          <w:highlight w:val="none"/>
        </w:rPr>
        <w:t>①本项目</w:t>
      </w:r>
      <w:r>
        <w:rPr>
          <w:rFonts w:hint="eastAsia" w:ascii="宋体" w:hAnsi="宋体"/>
          <w:color w:val="000000"/>
          <w:sz w:val="24"/>
          <w:szCs w:val="24"/>
          <w:highlight w:val="none"/>
          <w:lang w:eastAsia="zh-CN"/>
        </w:rPr>
        <w:t>为仅</w:t>
      </w:r>
      <w:r>
        <w:rPr>
          <w:rFonts w:hint="eastAsia" w:ascii="宋体" w:hAnsi="宋体"/>
          <w:color w:val="000000"/>
          <w:sz w:val="24"/>
          <w:szCs w:val="24"/>
          <w:highlight w:val="none"/>
        </w:rPr>
        <w:t>面向</w:t>
      </w:r>
      <w:r>
        <w:rPr>
          <w:rFonts w:hint="eastAsia" w:ascii="宋体" w:hAnsi="宋体"/>
          <w:color w:val="000000"/>
          <w:sz w:val="24"/>
          <w:szCs w:val="24"/>
          <w:highlight w:val="none"/>
          <w:lang w:eastAsia="zh-CN"/>
        </w:rPr>
        <w:t>中小微型企业</w:t>
      </w:r>
      <w:r>
        <w:rPr>
          <w:rFonts w:hint="eastAsia" w:ascii="宋体" w:hAnsi="宋体"/>
          <w:color w:val="000000"/>
          <w:sz w:val="24"/>
          <w:szCs w:val="24"/>
          <w:highlight w:val="none"/>
        </w:rPr>
        <w:t>的项目</w:t>
      </w:r>
      <w:r>
        <w:rPr>
          <w:rFonts w:hint="eastAsia" w:ascii="宋体" w:hAnsi="宋体"/>
          <w:color w:val="000000"/>
          <w:sz w:val="24"/>
          <w:szCs w:val="24"/>
          <w:highlight w:val="none"/>
          <w:lang w:eastAsia="zh-CN"/>
        </w:rPr>
        <w:t>，供应商应在响应文件中提供中小企业声明函</w:t>
      </w:r>
      <w:r>
        <w:rPr>
          <w:rFonts w:hint="eastAsia" w:ascii="宋体" w:hAnsi="宋体"/>
          <w:color w:val="000000"/>
          <w:sz w:val="24"/>
          <w:szCs w:val="24"/>
          <w:highlight w:val="none"/>
        </w:rPr>
        <w:t>；</w:t>
      </w:r>
    </w:p>
    <w:p w14:paraId="3424415C">
      <w:pPr>
        <w:spacing w:line="440" w:lineRule="exact"/>
        <w:ind w:firstLine="480"/>
        <w:rPr>
          <w:rFonts w:hint="eastAsia" w:ascii="宋体" w:hAnsi="宋体"/>
          <w:color w:val="000000"/>
          <w:sz w:val="24"/>
          <w:szCs w:val="24"/>
          <w:highlight w:val="none"/>
          <w:lang w:eastAsia="zh-CN"/>
        </w:rPr>
      </w:pPr>
      <w:r>
        <w:rPr>
          <w:rFonts w:hint="eastAsia" w:ascii="宋体" w:hAnsi="宋体"/>
          <w:color w:val="000000"/>
          <w:sz w:val="24"/>
          <w:szCs w:val="24"/>
          <w:highlight w:val="none"/>
        </w:rPr>
        <w:t>②依据工业和信息化部等四部委制定的《中小企业划型标准规定》，本项目</w:t>
      </w:r>
      <w:r>
        <w:rPr>
          <w:rFonts w:hint="eastAsia" w:ascii="宋体" w:hAnsi="宋体"/>
          <w:color w:val="000000"/>
          <w:sz w:val="24"/>
          <w:szCs w:val="24"/>
          <w:highlight w:val="none"/>
          <w:lang w:eastAsia="zh-CN"/>
        </w:rPr>
        <w:t>对应的中小企业划分标准所属行业为</w:t>
      </w:r>
      <w:r>
        <w:rPr>
          <w:rFonts w:hint="eastAsia" w:ascii="宋体" w:hAnsi="宋体"/>
          <w:b/>
          <w:bCs/>
          <w:color w:val="000000"/>
          <w:sz w:val="24"/>
          <w:szCs w:val="24"/>
          <w:highlight w:val="yellow"/>
          <w:u w:val="single"/>
          <w:lang w:val="en-US" w:eastAsia="zh-CN"/>
        </w:rPr>
        <w:t>未列明行业</w:t>
      </w:r>
      <w:r>
        <w:rPr>
          <w:rFonts w:hint="eastAsia" w:ascii="宋体" w:hAnsi="宋体"/>
          <w:color w:val="000000"/>
          <w:sz w:val="24"/>
          <w:szCs w:val="24"/>
          <w:highlight w:val="yellow"/>
          <w:lang w:eastAsia="zh-CN"/>
        </w:rPr>
        <w:t>。</w:t>
      </w:r>
    </w:p>
    <w:p w14:paraId="3C8F9701">
      <w:pPr>
        <w:spacing w:line="440" w:lineRule="exact"/>
        <w:ind w:firstLine="480"/>
        <w:rPr>
          <w:rFonts w:hint="eastAsia" w:ascii="宋体" w:hAnsi="宋体"/>
          <w:color w:val="000000"/>
          <w:sz w:val="24"/>
          <w:szCs w:val="24"/>
          <w:highlight w:val="none"/>
          <w:lang w:eastAsia="zh-CN"/>
        </w:rPr>
      </w:pPr>
      <w:r>
        <w:rPr>
          <w:rFonts w:hint="eastAsia" w:ascii="宋体" w:hAnsi="宋体"/>
          <w:color w:val="000000"/>
          <w:sz w:val="24"/>
          <w:szCs w:val="24"/>
          <w:highlight w:val="none"/>
        </w:rPr>
        <w:t>4.本项目</w:t>
      </w:r>
      <w:r>
        <w:rPr>
          <w:rFonts w:hint="eastAsia" w:ascii="宋体" w:hAnsi="宋体"/>
          <w:color w:val="000000"/>
          <w:sz w:val="24"/>
          <w:szCs w:val="24"/>
          <w:highlight w:val="none"/>
          <w:u w:val="single"/>
        </w:rPr>
        <w:t xml:space="preserve"> 不接受 </w:t>
      </w:r>
      <w:r>
        <w:rPr>
          <w:rFonts w:hint="eastAsia" w:ascii="宋体" w:hAnsi="宋体"/>
          <w:color w:val="000000"/>
          <w:sz w:val="24"/>
          <w:szCs w:val="24"/>
          <w:highlight w:val="none"/>
        </w:rPr>
        <w:t>联合体投标</w:t>
      </w:r>
      <w:r>
        <w:rPr>
          <w:rFonts w:hint="eastAsia" w:ascii="宋体" w:hAnsi="宋体"/>
          <w:color w:val="000000"/>
          <w:sz w:val="24"/>
          <w:szCs w:val="24"/>
          <w:highlight w:val="none"/>
          <w:lang w:eastAsia="zh-CN"/>
        </w:rPr>
        <w:t>。</w:t>
      </w:r>
    </w:p>
    <w:p w14:paraId="624C867D">
      <w:pPr>
        <w:spacing w:line="440" w:lineRule="exact"/>
        <w:ind w:firstLine="480"/>
        <w:rPr>
          <w:rFonts w:hint="eastAsia" w:ascii="宋体" w:hAnsi="宋体"/>
          <w:color w:val="000000"/>
          <w:sz w:val="24"/>
          <w:szCs w:val="24"/>
          <w:highlight w:val="none"/>
          <w:lang w:eastAsia="zh-CN"/>
        </w:rPr>
      </w:pPr>
      <w:r>
        <w:rPr>
          <w:rFonts w:hint="eastAsia" w:ascii="宋体" w:hAnsi="宋体"/>
          <w:color w:val="000000"/>
          <w:sz w:val="24"/>
          <w:szCs w:val="24"/>
          <w:highlight w:val="none"/>
        </w:rPr>
        <w:t>（二）本项目的特定资格要求</w:t>
      </w:r>
      <w:r>
        <w:rPr>
          <w:rFonts w:hint="eastAsia" w:ascii="宋体" w:hAnsi="宋体"/>
          <w:color w:val="000000"/>
          <w:sz w:val="24"/>
          <w:szCs w:val="24"/>
          <w:highlight w:val="none"/>
          <w:lang w:eastAsia="zh-CN"/>
        </w:rPr>
        <w:t>：</w:t>
      </w:r>
    </w:p>
    <w:p w14:paraId="3C240246">
      <w:pPr>
        <w:spacing w:line="440" w:lineRule="exact"/>
        <w:ind w:firstLine="480"/>
        <w:rPr>
          <w:rFonts w:hint="eastAsia" w:ascii="宋体" w:hAnsi="宋体" w:eastAsia="宋体" w:cs="宋体"/>
          <w:color w:val="000000"/>
          <w:sz w:val="24"/>
          <w:szCs w:val="24"/>
          <w:highlight w:val="none"/>
          <w:lang w:eastAsia="zh-CN"/>
        </w:rPr>
      </w:pPr>
      <w:r>
        <w:rPr>
          <w:rFonts w:hint="eastAsia" w:ascii="宋体" w:hAnsi="宋体"/>
          <w:color w:val="000000"/>
          <w:sz w:val="24"/>
          <w:szCs w:val="24"/>
          <w:highlight w:val="none"/>
          <w:lang w:val="en-US" w:eastAsia="zh-CN"/>
        </w:rPr>
        <w:t>无</w:t>
      </w:r>
    </w:p>
    <w:p w14:paraId="2A0026AD">
      <w:pPr>
        <w:pStyle w:val="240"/>
        <w:spacing w:before="145" w:after="145" w:line="440" w:lineRule="exact"/>
        <w:ind w:firstLine="373"/>
        <w:rPr>
          <w:rFonts w:hint="eastAsia" w:eastAsia="宋体"/>
          <w:color w:val="000000"/>
          <w:sz w:val="24"/>
          <w:szCs w:val="24"/>
          <w:highlight w:val="none"/>
          <w:lang w:eastAsia="zh-CN"/>
        </w:rPr>
      </w:pPr>
      <w:r>
        <w:rPr>
          <w:rFonts w:hint="eastAsia"/>
          <w:color w:val="000000"/>
          <w:sz w:val="24"/>
          <w:szCs w:val="24"/>
          <w:highlight w:val="none"/>
        </w:rPr>
        <w:t>三、获取</w:t>
      </w:r>
      <w:bookmarkEnd w:id="20"/>
      <w:bookmarkEnd w:id="21"/>
      <w:bookmarkEnd w:id="22"/>
      <w:bookmarkEnd w:id="23"/>
      <w:bookmarkEnd w:id="24"/>
      <w:r>
        <w:rPr>
          <w:rFonts w:hint="eastAsia"/>
          <w:color w:val="000000"/>
          <w:sz w:val="24"/>
          <w:szCs w:val="24"/>
          <w:highlight w:val="none"/>
          <w:lang w:eastAsia="zh-CN"/>
        </w:rPr>
        <w:t>磋商文件</w:t>
      </w:r>
    </w:p>
    <w:p w14:paraId="5363E1D5">
      <w:pPr>
        <w:spacing w:line="440" w:lineRule="exact"/>
        <w:ind w:firstLine="540"/>
        <w:rPr>
          <w:rFonts w:ascii="宋体" w:hAnsi="宋体" w:cs="宋体"/>
          <w:b/>
          <w:color w:val="auto"/>
          <w:sz w:val="24"/>
          <w:szCs w:val="24"/>
          <w:highlight w:val="none"/>
        </w:rPr>
      </w:pPr>
      <w:bookmarkStart w:id="25" w:name="_Toc28359005"/>
      <w:bookmarkStart w:id="26" w:name="_Toc28359082"/>
      <w:bookmarkStart w:id="27" w:name="_Toc35393793"/>
      <w:bookmarkStart w:id="28" w:name="_Toc38985266"/>
      <w:bookmarkStart w:id="29" w:name="_Toc35393624"/>
      <w:r>
        <w:rPr>
          <w:rFonts w:hint="eastAsia" w:ascii="宋体" w:hAnsi="宋体" w:cs="宋体"/>
          <w:color w:val="auto"/>
          <w:sz w:val="24"/>
          <w:szCs w:val="24"/>
          <w:highlight w:val="none"/>
        </w:rPr>
        <w:t>1.时间：自磋商文件公告发布之日起至提交响应文件截止之日止。</w:t>
      </w:r>
    </w:p>
    <w:p w14:paraId="5CADDDBD">
      <w:pPr>
        <w:spacing w:line="44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2.方式：在“江苏政府采购网”自行免费下载磋商文件。</w:t>
      </w:r>
    </w:p>
    <w:p w14:paraId="376A77E4">
      <w:pPr>
        <w:spacing w:line="44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（1）登录http://jszfcg.jscz.gov.cn/jszc/login；或进入扬中政府采购网（http://www.yzzfcg.cn/）首页点击“苏采云”进入系统。</w:t>
      </w:r>
    </w:p>
    <w:p w14:paraId="2DAC5605">
      <w:pPr>
        <w:spacing w:line="440" w:lineRule="exact"/>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（2）“苏采云”系统用户注册--获取“CA数字证书”--CA绑定与登录--网上报名--下载磋商文件(后缀名为.kedt”)。</w:t>
      </w:r>
    </w:p>
    <w:p w14:paraId="07767252">
      <w:pPr>
        <w:spacing w:line="440" w:lineRule="exact"/>
        <w:ind w:firstLine="56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如工程项目涉及工程量清单、图纸等较大附件下载，请至“扬中政府采购网”（http://www.yzzfcg.cn/）本项目的采购公告中进行下载。</w:t>
      </w:r>
    </w:p>
    <w:p w14:paraId="117FA869">
      <w:pPr>
        <w:spacing w:line="440" w:lineRule="exact"/>
        <w:ind w:firstLine="560"/>
        <w:outlineLvl w:val="2"/>
        <w:rPr>
          <w:rFonts w:ascii="宋体" w:hAnsi="宋体" w:cs="宋体"/>
          <w:color w:val="auto"/>
          <w:sz w:val="24"/>
          <w:szCs w:val="24"/>
          <w:highlight w:val="none"/>
        </w:rPr>
      </w:pPr>
      <w:r>
        <w:rPr>
          <w:rFonts w:hint="eastAsia" w:ascii="宋体" w:hAnsi="宋体" w:cs="宋体"/>
          <w:color w:val="auto"/>
          <w:sz w:val="24"/>
          <w:szCs w:val="24"/>
          <w:highlight w:val="none"/>
        </w:rPr>
        <w:t>3.“CA数字证书”的获取</w:t>
      </w:r>
    </w:p>
    <w:p w14:paraId="0FA02EBB">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供应商需办理CA锁，（“苏采云”系统目前仅支持意源CA、方正签章，CA数字证书及电子签章办理指南详见本公告附件）。客户端工具及供应商操作手册扬中政府采购（http://www.yzzfcg.cn/）首页“资料下载”，进行下载《江苏省政府采购交易系统（苏采云）供应商操作手册及政府采购客户端》。</w:t>
      </w:r>
    </w:p>
    <w:p w14:paraId="64C2AA33">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4.磋商文件(后缀名为“. kedt”)、供应商操作手册及政府采购客户端工具可通过“苏采云”系统--已报名项目--报名详情页面内相应链接进行下载;供应商操作手册及政府采购客户端工具也可通过扬中政府采购网（http://www.yzzfcg.cn/）首页“资料下载”--点击进入《江苏省政府采购交易系统（苏采云）供应商操作手册及政府采购客户端》进行下载。</w:t>
      </w:r>
    </w:p>
    <w:p w14:paraId="45E181C2">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5.采购代理机构将数据电文形式的磋商文件加载至电子招标投标交易平台，供潜在供应商下载或者查阅，各供应商应在规定的时间内完成磋商文件的下载，逾期可能会造成磋商文件无法下载以及磋商响应文件无法上传的情形，由此导致的后果由各供应商自行承担。</w:t>
      </w:r>
    </w:p>
    <w:p w14:paraId="188F1033">
      <w:pPr>
        <w:spacing w:line="440" w:lineRule="exact"/>
        <w:ind w:firstLine="560"/>
        <w:rPr>
          <w:rFonts w:ascii="宋体" w:hAnsi="宋体" w:cs="宋体"/>
          <w:color w:val="auto"/>
          <w:sz w:val="24"/>
          <w:szCs w:val="24"/>
          <w:highlight w:val="none"/>
        </w:rPr>
      </w:pPr>
      <w:r>
        <w:rPr>
          <w:rFonts w:hint="eastAsia" w:ascii="宋体" w:hAnsi="宋体" w:cs="宋体"/>
          <w:color w:val="auto"/>
          <w:sz w:val="24"/>
          <w:szCs w:val="24"/>
          <w:highlight w:val="none"/>
        </w:rPr>
        <w:t>6.苏采云系统使用谷歌浏览器参与不见面开标。</w:t>
      </w:r>
    </w:p>
    <w:p w14:paraId="2FA52611">
      <w:pPr>
        <w:pStyle w:val="240"/>
        <w:spacing w:before="145" w:after="145" w:line="440" w:lineRule="exact"/>
        <w:ind w:firstLine="373"/>
        <w:rPr>
          <w:color w:val="000000"/>
          <w:sz w:val="24"/>
          <w:szCs w:val="24"/>
          <w:highlight w:val="none"/>
        </w:rPr>
      </w:pPr>
      <w:r>
        <w:rPr>
          <w:rFonts w:hint="eastAsia"/>
          <w:color w:val="000000"/>
          <w:sz w:val="24"/>
          <w:szCs w:val="24"/>
          <w:highlight w:val="none"/>
        </w:rPr>
        <w:t>四、提交</w:t>
      </w:r>
      <w:bookmarkEnd w:id="25"/>
      <w:bookmarkEnd w:id="26"/>
      <w:r>
        <w:rPr>
          <w:rFonts w:hint="eastAsia"/>
          <w:color w:val="000000"/>
          <w:sz w:val="24"/>
          <w:szCs w:val="24"/>
          <w:highlight w:val="none"/>
          <w:lang w:eastAsia="zh-CN"/>
        </w:rPr>
        <w:t>响应文件</w:t>
      </w:r>
      <w:r>
        <w:rPr>
          <w:rFonts w:hint="eastAsia"/>
          <w:color w:val="000000"/>
          <w:sz w:val="24"/>
          <w:szCs w:val="24"/>
          <w:highlight w:val="none"/>
        </w:rPr>
        <w:t>截止时间、开标时间和地点</w:t>
      </w:r>
      <w:bookmarkEnd w:id="27"/>
      <w:bookmarkEnd w:id="28"/>
      <w:bookmarkEnd w:id="29"/>
    </w:p>
    <w:p w14:paraId="627E59B7">
      <w:pPr>
        <w:spacing w:line="440" w:lineRule="exact"/>
        <w:ind w:firstLine="480"/>
        <w:rPr>
          <w:rFonts w:ascii="宋体" w:hAnsi="宋体"/>
          <w:bCs/>
          <w:color w:val="000000"/>
          <w:sz w:val="24"/>
          <w:szCs w:val="24"/>
          <w:highlight w:val="yellow"/>
          <w:u w:val="single"/>
        </w:rPr>
      </w:pPr>
      <w:r>
        <w:rPr>
          <w:rFonts w:hint="eastAsia" w:ascii="宋体" w:hAnsi="宋体"/>
          <w:bCs/>
          <w:color w:val="000000"/>
          <w:sz w:val="24"/>
          <w:szCs w:val="24"/>
          <w:highlight w:val="yellow"/>
          <w:u w:val="single"/>
        </w:rPr>
        <w:t xml:space="preserve">1. </w:t>
      </w:r>
      <w:r>
        <w:rPr>
          <w:rFonts w:hint="eastAsia" w:ascii="宋体" w:hAnsi="宋体"/>
          <w:b/>
          <w:color w:val="000000"/>
          <w:sz w:val="24"/>
          <w:szCs w:val="24"/>
          <w:highlight w:val="yellow"/>
          <w:u w:val="single"/>
        </w:rPr>
        <w:t>2024年</w:t>
      </w:r>
      <w:r>
        <w:rPr>
          <w:rFonts w:hint="eastAsia" w:ascii="宋体" w:hAnsi="宋体"/>
          <w:b/>
          <w:color w:val="000000"/>
          <w:sz w:val="24"/>
          <w:szCs w:val="24"/>
          <w:highlight w:val="yellow"/>
          <w:u w:val="single"/>
          <w:lang w:val="en-US" w:eastAsia="zh-CN"/>
        </w:rPr>
        <w:t>12</w:t>
      </w:r>
      <w:r>
        <w:rPr>
          <w:rFonts w:hint="eastAsia" w:ascii="宋体" w:hAnsi="宋体"/>
          <w:b/>
          <w:color w:val="000000"/>
          <w:sz w:val="24"/>
          <w:szCs w:val="24"/>
          <w:highlight w:val="yellow"/>
          <w:u w:val="single"/>
        </w:rPr>
        <w:t>月</w:t>
      </w:r>
      <w:r>
        <w:rPr>
          <w:rFonts w:hint="eastAsia" w:ascii="宋体" w:hAnsi="宋体"/>
          <w:b/>
          <w:color w:val="000000"/>
          <w:sz w:val="24"/>
          <w:szCs w:val="24"/>
          <w:highlight w:val="yellow"/>
          <w:u w:val="single"/>
          <w:lang w:val="en-US" w:eastAsia="zh-CN"/>
        </w:rPr>
        <w:t>11</w:t>
      </w:r>
      <w:r>
        <w:rPr>
          <w:rFonts w:hint="eastAsia" w:ascii="宋体" w:hAnsi="宋体"/>
          <w:b/>
          <w:color w:val="000000"/>
          <w:sz w:val="24"/>
          <w:szCs w:val="24"/>
          <w:highlight w:val="yellow"/>
          <w:u w:val="single"/>
        </w:rPr>
        <w:t xml:space="preserve">日 </w:t>
      </w:r>
      <w:r>
        <w:rPr>
          <w:rFonts w:hint="eastAsia" w:ascii="宋体" w:hAnsi="宋体"/>
          <w:b/>
          <w:color w:val="000000"/>
          <w:sz w:val="24"/>
          <w:szCs w:val="24"/>
          <w:highlight w:val="yellow"/>
          <w:u w:val="single"/>
          <w:lang w:val="en-US" w:eastAsia="zh-CN"/>
        </w:rPr>
        <w:t>14</w:t>
      </w:r>
      <w:r>
        <w:rPr>
          <w:rFonts w:hint="eastAsia" w:ascii="宋体" w:hAnsi="宋体"/>
          <w:b/>
          <w:color w:val="000000"/>
          <w:sz w:val="24"/>
          <w:szCs w:val="24"/>
          <w:highlight w:val="yellow"/>
          <w:u w:val="single"/>
        </w:rPr>
        <w:t>点</w:t>
      </w:r>
      <w:r>
        <w:rPr>
          <w:rFonts w:hint="eastAsia" w:ascii="宋体" w:hAnsi="宋体"/>
          <w:b/>
          <w:color w:val="000000"/>
          <w:sz w:val="24"/>
          <w:szCs w:val="24"/>
          <w:highlight w:val="yellow"/>
          <w:u w:val="single"/>
          <w:lang w:val="en-US" w:eastAsia="zh-CN"/>
        </w:rPr>
        <w:t>30</w:t>
      </w:r>
      <w:r>
        <w:rPr>
          <w:rFonts w:hint="eastAsia" w:ascii="宋体" w:hAnsi="宋体"/>
          <w:b/>
          <w:color w:val="000000"/>
          <w:sz w:val="24"/>
          <w:szCs w:val="24"/>
          <w:highlight w:val="yellow"/>
          <w:u w:val="single"/>
        </w:rPr>
        <w:t>分</w:t>
      </w:r>
      <w:r>
        <w:rPr>
          <w:rFonts w:hint="eastAsia" w:ascii="宋体" w:hAnsi="宋体"/>
          <w:b/>
          <w:color w:val="000000"/>
          <w:sz w:val="24"/>
          <w:szCs w:val="24"/>
          <w:highlight w:val="yellow"/>
        </w:rPr>
        <w:t>（北京时间）。</w:t>
      </w:r>
    </w:p>
    <w:p w14:paraId="249E5098">
      <w:pPr>
        <w:spacing w:line="440" w:lineRule="exact"/>
        <w:ind w:firstLine="480" w:firstLineChars="200"/>
        <w:rPr>
          <w:rFonts w:hint="eastAsia" w:ascii="宋体" w:hAnsi="宋体" w:eastAsia="宋体" w:cs="Times New Roman"/>
          <w:color w:val="auto"/>
          <w:sz w:val="24"/>
          <w:szCs w:val="24"/>
          <w:highlight w:val="none"/>
          <w:lang w:val="en-US" w:eastAsia="zh-CN"/>
        </w:rPr>
      </w:pPr>
      <w:bookmarkStart w:id="30" w:name="_Toc35393625"/>
      <w:bookmarkStart w:id="31" w:name="_Toc28359007"/>
      <w:bookmarkStart w:id="32" w:name="_Toc28359084"/>
      <w:bookmarkStart w:id="33" w:name="_Toc35393794"/>
      <w:bookmarkStart w:id="34" w:name="_Toc38985267"/>
      <w:r>
        <w:rPr>
          <w:rFonts w:hint="eastAsia" w:ascii="宋体" w:hAnsi="宋体" w:eastAsia="宋体" w:cs="Times New Roman"/>
          <w:color w:val="auto"/>
          <w:sz w:val="24"/>
          <w:szCs w:val="24"/>
          <w:highlight w:val="none"/>
          <w:lang w:val="en-US" w:eastAsia="zh-CN"/>
        </w:rPr>
        <w:t>2.地点：“苏采云”平台。</w:t>
      </w:r>
    </w:p>
    <w:p w14:paraId="5A8C3F70">
      <w:pPr>
        <w:spacing w:line="440" w:lineRule="exact"/>
        <w:ind w:firstLine="480" w:firstLineChars="200"/>
        <w:rPr>
          <w:rFonts w:hint="eastAsia"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.本项目采</w:t>
      </w:r>
      <w:r>
        <w:rPr>
          <w:rFonts w:hint="eastAsia" w:ascii="宋体" w:hAnsi="宋体" w:cs="宋体"/>
          <w:color w:val="auto"/>
          <w:kern w:val="0"/>
          <w:sz w:val="24"/>
          <w:szCs w:val="24"/>
          <w:highlight w:val="none"/>
        </w:rPr>
        <w:t>用远程不见面交易模式，通过不见面交易系统及相应的配套硬件设备（摄像头、话筒、麦克风等）完成远程解密、开标现场异议及回复、开标唱标等交互环节。</w:t>
      </w:r>
    </w:p>
    <w:p w14:paraId="3354DE0F">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.不见面交易相关要求和说明如下：</w:t>
      </w:r>
    </w:p>
    <w:p w14:paraId="1EBBC579">
      <w:pPr>
        <w:spacing w:line="440" w:lineRule="exact"/>
        <w:ind w:firstLine="56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（1）不见面开标项目的时间均以国家授时中心发布的时间为准；</w:t>
      </w:r>
    </w:p>
    <w:p w14:paraId="5A9B971B">
      <w:pPr>
        <w:spacing w:line="440" w:lineRule="exact"/>
        <w:ind w:firstLine="56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（2）开标当日，磋商响应供应商不必抵达开标现场，仅需在任意地点通过“苏采云”系统（网址：</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HYPERLINK "http://jszfcg.jsczt.cn/）\“开标大厅\”或扬中政府采购网（http:/www.yzzfcg.cn/）首页点击\“苏采云\”进入系统\“开标大厅\”参与开标过程；" </w:instrText>
      </w:r>
      <w:r>
        <w:rPr>
          <w:rFonts w:hint="eastAsia" w:ascii="宋体" w:hAnsi="宋体" w:cs="宋体"/>
          <w:color w:val="auto"/>
          <w:kern w:val="0"/>
          <w:sz w:val="24"/>
          <w:szCs w:val="24"/>
          <w:highlight w:val="none"/>
        </w:rPr>
        <w:fldChar w:fldCharType="separate"/>
      </w:r>
      <w:r>
        <w:rPr>
          <w:rFonts w:hint="eastAsia" w:ascii="宋体" w:hAnsi="宋体" w:cs="宋体"/>
          <w:color w:val="auto"/>
          <w:kern w:val="0"/>
          <w:sz w:val="24"/>
          <w:szCs w:val="24"/>
          <w:highlight w:val="none"/>
        </w:rPr>
        <w:t>http://jszfcg.jsczt.cn/）“开标大厅”或扬中政府采购网（http://www.yzzfcg.cn/）首页点击“苏采云”进入系统“开标大厅”参与开标过程；</w:t>
      </w:r>
      <w:r>
        <w:rPr>
          <w:rFonts w:hint="eastAsia" w:ascii="宋体" w:hAnsi="宋体" w:cs="宋体"/>
          <w:color w:val="auto"/>
          <w:kern w:val="0"/>
          <w:sz w:val="24"/>
          <w:szCs w:val="24"/>
          <w:highlight w:val="none"/>
        </w:rPr>
        <w:fldChar w:fldCharType="end"/>
      </w:r>
    </w:p>
    <w:p w14:paraId="614E77EE">
      <w:pPr>
        <w:spacing w:line="440" w:lineRule="exact"/>
        <w:ind w:firstLine="56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未按时加入开标会议区并完成登录操作的或未能在开标会议区内全程参与交互的，视为放弃交互和放弃对开评标全过程提疑的权利，磋商响应供应商将无法看到解密指令、异议回复、唱标等实时情况，并承担由此导致的一切后果；</w:t>
      </w:r>
    </w:p>
    <w:p w14:paraId="3C94D75B">
      <w:pPr>
        <w:spacing w:line="440" w:lineRule="exact"/>
        <w:ind w:firstLine="560"/>
        <w:rPr>
          <w:rFonts w:ascii="宋体" w:hAnsi="宋体" w:cs="宋体"/>
          <w:color w:val="auto"/>
          <w:kern w:val="0"/>
          <w:sz w:val="24"/>
          <w:szCs w:val="24"/>
          <w:highlight w:val="none"/>
        </w:rPr>
      </w:pPr>
      <w:r>
        <w:rPr>
          <w:rFonts w:hint="eastAsia" w:ascii="宋体" w:hAnsi="宋体" w:cs="宋体"/>
          <w:color w:val="auto"/>
          <w:kern w:val="0"/>
          <w:sz w:val="24"/>
          <w:szCs w:val="24"/>
          <w:highlight w:val="none"/>
        </w:rPr>
        <w:t>（4）磋商响应文件递交截止时间后，采购人或采购代理机构将在系统内公布磋商响应供应商名单然后通过开标会议区发出磋商响应文件解密的指令，磋商响应供应商在各自地点按规定时间自行实施远程解密，磋商响应供应商解密限定在磋商截止时间后30分钟之间完成。因磋商响应供应商网络与电源不稳定、未按操作手册要求配置软硬件、解密锁发生故障或用错、故意不在要求时限内完成解密等自身原因，导致磋商响应文件在规定时间内未能解密、解密失败或解密超时，视为磋商响应供应商撤销其磋商响应文件；因网上平台发生故障，导致无法按时完成磋商响应文件解密或开、评标工作无法进行的，可根据实际情况相应延迟解密时间或调整开、评标时间（友情提示：若供应商已领取副锁（含多把副锁）请注意正副锁的使用差别）。本项目在限定的解密时间内，只要有一家磋商响应供应商解密成功，即视为网上招投标平台运行无故障。</w:t>
      </w:r>
    </w:p>
    <w:p w14:paraId="2106351F">
      <w:pPr>
        <w:spacing w:line="440" w:lineRule="exact"/>
        <w:ind w:firstLine="5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（5）因磋商响应供应商自身软硬件配备不齐全或发生故障等问题而导致在交互过程中出现不稳定或中断等情况的，由磋商响应供应商自身承担一切后果。</w:t>
      </w:r>
    </w:p>
    <w:p w14:paraId="06894FCF">
      <w:pPr>
        <w:pStyle w:val="240"/>
        <w:spacing w:before="145" w:after="145" w:line="440" w:lineRule="exact"/>
        <w:ind w:firstLine="373"/>
        <w:rPr>
          <w:color w:val="000000"/>
          <w:sz w:val="24"/>
          <w:szCs w:val="24"/>
          <w:highlight w:val="none"/>
        </w:rPr>
      </w:pPr>
      <w:r>
        <w:rPr>
          <w:rFonts w:hint="eastAsia"/>
          <w:color w:val="000000"/>
          <w:sz w:val="24"/>
          <w:szCs w:val="24"/>
          <w:highlight w:val="none"/>
        </w:rPr>
        <w:t>五、公告期限</w:t>
      </w:r>
      <w:bookmarkEnd w:id="30"/>
      <w:bookmarkEnd w:id="31"/>
      <w:bookmarkEnd w:id="32"/>
      <w:bookmarkEnd w:id="33"/>
      <w:bookmarkEnd w:id="34"/>
    </w:p>
    <w:p w14:paraId="6A9C574A">
      <w:pPr>
        <w:spacing w:line="440" w:lineRule="exact"/>
        <w:ind w:firstLine="480" w:firstLineChars="200"/>
        <w:rPr>
          <w:rFonts w:ascii="宋体" w:hAnsi="宋体" w:cs="宋体"/>
          <w:color w:val="auto"/>
          <w:kern w:val="0"/>
          <w:sz w:val="24"/>
          <w:szCs w:val="24"/>
          <w:highlight w:val="none"/>
        </w:rPr>
      </w:pPr>
      <w:bookmarkStart w:id="35" w:name="_Toc35393795"/>
      <w:bookmarkStart w:id="36" w:name="_Toc35393626"/>
      <w:bookmarkStart w:id="37" w:name="_Toc38985268"/>
      <w:r>
        <w:rPr>
          <w:rFonts w:hint="eastAsia" w:ascii="宋体" w:hAnsi="宋体" w:cs="宋体"/>
          <w:color w:val="auto"/>
          <w:kern w:val="0"/>
          <w:sz w:val="24"/>
          <w:szCs w:val="24"/>
          <w:highlight w:val="none"/>
        </w:rPr>
        <w:t>磋商公告及磋商文件公告期限为自本公告发布之日起</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个工作日。</w:t>
      </w:r>
    </w:p>
    <w:p w14:paraId="293E249D">
      <w:pPr>
        <w:pStyle w:val="240"/>
        <w:spacing w:before="145" w:after="145" w:line="440" w:lineRule="exact"/>
        <w:ind w:firstLine="373"/>
        <w:rPr>
          <w:color w:val="000000"/>
          <w:sz w:val="24"/>
          <w:szCs w:val="24"/>
          <w:highlight w:val="none"/>
        </w:rPr>
      </w:pPr>
      <w:r>
        <w:rPr>
          <w:rFonts w:hint="eastAsia"/>
          <w:color w:val="000000"/>
          <w:sz w:val="24"/>
          <w:szCs w:val="24"/>
          <w:highlight w:val="none"/>
        </w:rPr>
        <w:t>六、其他补充事宜</w:t>
      </w:r>
      <w:bookmarkEnd w:id="35"/>
      <w:bookmarkEnd w:id="36"/>
      <w:bookmarkEnd w:id="37"/>
    </w:p>
    <w:p w14:paraId="31C47DF6">
      <w:pPr>
        <w:spacing w:line="440" w:lineRule="exact"/>
        <w:ind w:firstLine="480" w:firstLineChars="200"/>
        <w:rPr>
          <w:rFonts w:hint="eastAsia" w:ascii="宋体" w:hAnsi="宋体" w:eastAsia="宋体" w:cs="宋体"/>
          <w:color w:val="auto"/>
          <w:kern w:val="0"/>
          <w:sz w:val="24"/>
          <w:szCs w:val="24"/>
          <w:highlight w:val="none"/>
        </w:rPr>
      </w:pPr>
      <w:bookmarkStart w:id="38" w:name="_Toc28359008"/>
      <w:bookmarkStart w:id="39" w:name="_Toc35393627"/>
      <w:bookmarkStart w:id="40" w:name="_Toc28359085"/>
      <w:bookmarkStart w:id="41" w:name="_Toc38985269"/>
      <w:bookmarkStart w:id="42" w:name="_Toc35393796"/>
      <w:r>
        <w:rPr>
          <w:rFonts w:hint="eastAsia" w:ascii="宋体" w:hAnsi="宋体" w:eastAsia="宋体" w:cs="宋体"/>
          <w:color w:val="auto"/>
          <w:kern w:val="0"/>
          <w:sz w:val="24"/>
          <w:szCs w:val="24"/>
          <w:highlight w:val="none"/>
        </w:rPr>
        <w:t>1、现场勘察：</w:t>
      </w:r>
    </w:p>
    <w:p w14:paraId="7ED8D8F2">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（1）采购人不组织现场踏勘，供应商可自行组织对现场及其周围环境进行踏勘，以便供应商自行查明或核实有关编制磋商响应文件和签订合同所必需的资料。</w:t>
      </w:r>
    </w:p>
    <w:p w14:paraId="0AA9DAD3">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（2）现场踏勘期间，供应商承担自身的费用、责任和风险。如果发生人身伤亡、财物或其他损失，除国家法律法规有规定的之外，采购人均不负责。</w:t>
      </w:r>
    </w:p>
    <w:p w14:paraId="242C9F9B">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2、本项目需要落实的政府采购政策：</w:t>
      </w:r>
      <w:r>
        <w:rPr>
          <w:rFonts w:hint="eastAsia" w:ascii="宋体" w:hAnsi="宋体" w:eastAsia="宋体" w:cs="宋体"/>
          <w:color w:val="auto"/>
          <w:kern w:val="0"/>
          <w:sz w:val="24"/>
          <w:szCs w:val="24"/>
          <w:highlight w:val="none"/>
          <w:lang w:val="zh-CN"/>
        </w:rPr>
        <w:t>财政部、工业和信息化部关于印发《政府采购促进中小企业发展管理办法》的通知（财库〔2020〕46号</w:t>
      </w:r>
      <w:r>
        <w:rPr>
          <w:rFonts w:hint="eastAsia" w:ascii="宋体" w:hAnsi="宋体" w:eastAsia="宋体" w:cs="宋体"/>
          <w:color w:val="auto"/>
          <w:kern w:val="0"/>
          <w:sz w:val="24"/>
          <w:szCs w:val="24"/>
          <w:highlight w:val="none"/>
        </w:rPr>
        <w:t>)、《关于进一步加大政府采购支持中小企业力度的通知》（</w:t>
      </w:r>
      <w:r>
        <w:rPr>
          <w:rFonts w:hint="eastAsia" w:ascii="宋体" w:hAnsi="宋体" w:eastAsia="宋体" w:cs="宋体"/>
          <w:color w:val="auto"/>
          <w:kern w:val="0"/>
          <w:sz w:val="24"/>
          <w:szCs w:val="24"/>
          <w:highlight w:val="none"/>
          <w:lang w:val="zh-CN"/>
        </w:rPr>
        <w:t>财库【</w:t>
      </w:r>
      <w:r>
        <w:rPr>
          <w:rFonts w:hint="eastAsia" w:ascii="宋体" w:hAnsi="宋体" w:eastAsia="宋体" w:cs="宋体"/>
          <w:color w:val="auto"/>
          <w:kern w:val="0"/>
          <w:sz w:val="24"/>
          <w:szCs w:val="24"/>
          <w:highlight w:val="none"/>
        </w:rPr>
        <w:t>2023</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19号）、残疾人福利性单位政策、监狱企业发展政策（具体表述详见文件）。</w:t>
      </w:r>
    </w:p>
    <w:p w14:paraId="1C0B8129">
      <w:pPr>
        <w:spacing w:line="440" w:lineRule="exact"/>
        <w:ind w:firstLine="480" w:firstLineChars="200"/>
        <w:rPr>
          <w:rFonts w:hint="eastAsia" w:ascii="宋体" w:hAnsi="宋体" w:eastAsia="宋体" w:cs="宋体"/>
          <w:b/>
          <w:bCs/>
          <w:color w:val="auto"/>
          <w:kern w:val="0"/>
          <w:sz w:val="24"/>
          <w:szCs w:val="24"/>
          <w:highlight w:val="yellow"/>
        </w:rPr>
      </w:pPr>
      <w:r>
        <w:rPr>
          <w:rFonts w:hint="eastAsia" w:ascii="宋体" w:hAnsi="宋体" w:eastAsia="宋体" w:cs="宋体"/>
          <w:color w:val="auto"/>
          <w:kern w:val="0"/>
          <w:sz w:val="24"/>
          <w:szCs w:val="24"/>
          <w:highlight w:val="yellow"/>
        </w:rPr>
        <w:t>3、</w:t>
      </w:r>
      <w:r>
        <w:rPr>
          <w:rFonts w:hint="eastAsia" w:ascii="宋体" w:hAnsi="宋体" w:eastAsia="宋体" w:cs="宋体"/>
          <w:color w:val="auto"/>
          <w:kern w:val="0"/>
          <w:sz w:val="24"/>
          <w:szCs w:val="24"/>
          <w:highlight w:val="yellow"/>
          <w:lang w:val="en-US" w:eastAsia="zh-CN"/>
        </w:rPr>
        <w:t>履约</w:t>
      </w:r>
      <w:r>
        <w:rPr>
          <w:rFonts w:hint="eastAsia" w:ascii="宋体" w:hAnsi="宋体" w:eastAsia="宋体" w:cs="宋体"/>
          <w:color w:val="auto"/>
          <w:kern w:val="0"/>
          <w:sz w:val="24"/>
          <w:szCs w:val="24"/>
          <w:highlight w:val="yellow"/>
        </w:rPr>
        <w:t>保证金：</w:t>
      </w:r>
      <w:r>
        <w:rPr>
          <w:rFonts w:hint="eastAsia" w:ascii="宋体" w:hAnsi="宋体" w:eastAsia="宋体" w:cs="宋体"/>
          <w:b/>
          <w:bCs/>
          <w:color w:val="auto"/>
          <w:kern w:val="0"/>
          <w:sz w:val="24"/>
          <w:szCs w:val="24"/>
          <w:highlight w:val="yellow"/>
        </w:rPr>
        <w:t>本项目缴纳</w:t>
      </w:r>
      <w:r>
        <w:rPr>
          <w:rFonts w:hint="eastAsia" w:ascii="宋体" w:hAnsi="宋体" w:eastAsia="宋体" w:cs="宋体"/>
          <w:b/>
          <w:bCs/>
          <w:color w:val="auto"/>
          <w:kern w:val="0"/>
          <w:sz w:val="24"/>
          <w:szCs w:val="24"/>
          <w:highlight w:val="yellow"/>
          <w:lang w:val="en-US" w:eastAsia="zh-CN"/>
        </w:rPr>
        <w:t>履约</w:t>
      </w:r>
      <w:r>
        <w:rPr>
          <w:rFonts w:hint="eastAsia" w:ascii="宋体" w:hAnsi="宋体" w:eastAsia="宋体" w:cs="宋体"/>
          <w:b/>
          <w:bCs/>
          <w:color w:val="auto"/>
          <w:kern w:val="0"/>
          <w:sz w:val="24"/>
          <w:szCs w:val="24"/>
          <w:highlight w:val="yellow"/>
        </w:rPr>
        <w:t>保证金</w:t>
      </w:r>
      <w:r>
        <w:rPr>
          <w:rFonts w:hint="eastAsia" w:ascii="宋体" w:hAnsi="宋体" w:eastAsia="宋体" w:cs="宋体"/>
          <w:b/>
          <w:bCs/>
          <w:color w:val="auto"/>
          <w:kern w:val="0"/>
          <w:sz w:val="24"/>
          <w:szCs w:val="24"/>
          <w:highlight w:val="yellow"/>
          <w:lang w:val="en-US" w:eastAsia="zh-CN"/>
        </w:rPr>
        <w:t>10万元</w:t>
      </w:r>
      <w:r>
        <w:rPr>
          <w:rFonts w:hint="eastAsia" w:ascii="宋体" w:hAnsi="宋体" w:eastAsia="宋体" w:cs="宋体"/>
          <w:b/>
          <w:bCs/>
          <w:color w:val="auto"/>
          <w:kern w:val="0"/>
          <w:sz w:val="24"/>
          <w:szCs w:val="24"/>
          <w:highlight w:val="yellow"/>
        </w:rPr>
        <w:t>。</w:t>
      </w:r>
    </w:p>
    <w:p w14:paraId="49F1FA38">
      <w:pPr>
        <w:pStyle w:val="240"/>
        <w:spacing w:before="145" w:after="145" w:line="440" w:lineRule="exact"/>
        <w:ind w:firstLine="373"/>
        <w:rPr>
          <w:rFonts w:hint="eastAsia"/>
          <w:color w:val="000000"/>
          <w:sz w:val="24"/>
          <w:szCs w:val="24"/>
          <w:highlight w:val="none"/>
        </w:rPr>
      </w:pPr>
      <w:r>
        <w:rPr>
          <w:rFonts w:hint="eastAsia"/>
          <w:color w:val="000000"/>
          <w:sz w:val="24"/>
          <w:szCs w:val="24"/>
          <w:highlight w:val="none"/>
          <w:lang w:val="en-US" w:eastAsia="zh-CN"/>
        </w:rPr>
        <w:t>七、</w:t>
      </w:r>
      <w:r>
        <w:rPr>
          <w:rFonts w:hint="eastAsia"/>
          <w:color w:val="000000"/>
          <w:sz w:val="24"/>
          <w:szCs w:val="24"/>
          <w:highlight w:val="none"/>
        </w:rPr>
        <w:t>本次招标联系方式</w:t>
      </w:r>
      <w:bookmarkEnd w:id="38"/>
      <w:bookmarkEnd w:id="39"/>
      <w:bookmarkEnd w:id="40"/>
      <w:bookmarkEnd w:id="41"/>
      <w:bookmarkEnd w:id="42"/>
    </w:p>
    <w:p w14:paraId="11053A7A">
      <w:pPr>
        <w:spacing w:line="44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eastAsia="zh-CN"/>
        </w:rPr>
        <w:t>采购人</w:t>
      </w:r>
      <w:r>
        <w:rPr>
          <w:rFonts w:hint="eastAsia" w:ascii="宋体" w:hAnsi="宋体" w:cs="宋体"/>
          <w:color w:val="000000"/>
          <w:sz w:val="24"/>
          <w:szCs w:val="24"/>
          <w:highlight w:val="none"/>
        </w:rPr>
        <w:t>信息</w:t>
      </w:r>
    </w:p>
    <w:p w14:paraId="1847DE8E">
      <w:pPr>
        <w:spacing w:line="440" w:lineRule="exact"/>
        <w:ind w:firstLine="480"/>
        <w:jc w:val="left"/>
        <w:rPr>
          <w:rFonts w:hint="eastAsia" w:ascii="宋体" w:hAnsi="宋体"/>
          <w:color w:val="000000"/>
          <w:sz w:val="24"/>
          <w:szCs w:val="24"/>
          <w:highlight w:val="none"/>
          <w:lang w:eastAsia="zh-CN"/>
        </w:rPr>
      </w:pPr>
      <w:r>
        <w:rPr>
          <w:rFonts w:hint="eastAsia" w:ascii="宋体" w:hAnsi="宋体"/>
          <w:color w:val="000000"/>
          <w:sz w:val="24"/>
          <w:szCs w:val="24"/>
          <w:highlight w:val="none"/>
        </w:rPr>
        <w:t>名称：</w:t>
      </w:r>
      <w:r>
        <w:rPr>
          <w:rFonts w:hint="eastAsia" w:ascii="宋体" w:hAnsi="宋体"/>
          <w:color w:val="000000"/>
          <w:sz w:val="24"/>
          <w:szCs w:val="24"/>
          <w:highlight w:val="none"/>
          <w:u w:val="single"/>
          <w:lang w:eastAsia="zh-CN"/>
        </w:rPr>
        <w:t>扬中市西来桥镇人民政府</w:t>
      </w:r>
    </w:p>
    <w:p w14:paraId="1AF97736">
      <w:pPr>
        <w:spacing w:line="440" w:lineRule="exact"/>
        <w:ind w:firstLine="480"/>
        <w:jc w:val="left"/>
        <w:rPr>
          <w:rFonts w:hint="eastAsia" w:ascii="宋体" w:hAnsi="宋体"/>
          <w:color w:val="000000"/>
          <w:sz w:val="24"/>
          <w:szCs w:val="24"/>
          <w:highlight w:val="none"/>
        </w:rPr>
      </w:pPr>
      <w:r>
        <w:rPr>
          <w:rFonts w:hint="eastAsia" w:ascii="宋体" w:hAnsi="宋体"/>
          <w:color w:val="000000"/>
          <w:sz w:val="24"/>
          <w:szCs w:val="24"/>
          <w:highlight w:val="none"/>
        </w:rPr>
        <w:t>地址：</w:t>
      </w:r>
      <w:r>
        <w:rPr>
          <w:rFonts w:hint="eastAsia" w:ascii="宋体" w:hAnsi="宋体"/>
          <w:color w:val="000000"/>
          <w:sz w:val="24"/>
          <w:szCs w:val="24"/>
          <w:highlight w:val="none"/>
          <w:u w:val="single"/>
        </w:rPr>
        <w:t>扬中市西来桥镇</w:t>
      </w:r>
    </w:p>
    <w:p w14:paraId="04CC19F1">
      <w:pPr>
        <w:spacing w:line="440" w:lineRule="exact"/>
        <w:ind w:firstLine="480"/>
        <w:jc w:val="left"/>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联系人：</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匡扶</w:t>
      </w:r>
    </w:p>
    <w:p w14:paraId="4310C037">
      <w:pPr>
        <w:spacing w:line="440" w:lineRule="exact"/>
        <w:ind w:firstLine="480"/>
        <w:jc w:val="left"/>
        <w:rPr>
          <w:rFonts w:ascii="宋体" w:hAnsi="宋体"/>
          <w:color w:val="000000"/>
          <w:sz w:val="24"/>
          <w:szCs w:val="24"/>
          <w:highlight w:val="none"/>
          <w:u w:val="single"/>
        </w:rPr>
      </w:pPr>
      <w:r>
        <w:rPr>
          <w:rFonts w:hint="eastAsia" w:ascii="宋体" w:hAnsi="宋体"/>
          <w:color w:val="000000"/>
          <w:sz w:val="24"/>
          <w:szCs w:val="24"/>
          <w:highlight w:val="none"/>
        </w:rPr>
        <w:t>联系方式：</w:t>
      </w:r>
      <w:bookmarkStart w:id="43" w:name="_Toc28359086"/>
      <w:bookmarkStart w:id="44" w:name="_Toc28359009"/>
      <w:r>
        <w:rPr>
          <w:rFonts w:hint="eastAsia" w:ascii="宋体" w:hAnsi="宋体"/>
          <w:color w:val="000000"/>
          <w:sz w:val="24"/>
          <w:szCs w:val="24"/>
          <w:highlight w:val="none"/>
          <w:u w:val="single"/>
        </w:rPr>
        <w:t>13705296328</w:t>
      </w:r>
    </w:p>
    <w:p w14:paraId="4CE42DC8">
      <w:pPr>
        <w:spacing w:line="440" w:lineRule="exact"/>
        <w:ind w:firstLine="48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2.代理机构信息</w:t>
      </w:r>
    </w:p>
    <w:bookmarkEnd w:id="43"/>
    <w:bookmarkEnd w:id="44"/>
    <w:p w14:paraId="36F98A3A">
      <w:pPr>
        <w:spacing w:line="440" w:lineRule="exact"/>
        <w:ind w:firstLine="480"/>
        <w:outlineLvl w:val="2"/>
        <w:rPr>
          <w:rFonts w:hint="eastAsia" w:ascii="宋体" w:hAnsi="宋体" w:eastAsia="宋体" w:cs="宋体"/>
          <w:color w:val="000000"/>
          <w:sz w:val="24"/>
          <w:szCs w:val="24"/>
          <w:highlight w:val="none"/>
          <w:u w:val="single"/>
          <w:lang w:eastAsia="zh-CN"/>
        </w:rPr>
      </w:pPr>
      <w:r>
        <w:rPr>
          <w:rFonts w:hint="eastAsia" w:ascii="宋体" w:hAnsi="宋体" w:cs="宋体"/>
          <w:color w:val="000000"/>
          <w:sz w:val="24"/>
          <w:szCs w:val="24"/>
          <w:highlight w:val="none"/>
        </w:rPr>
        <w:t>名称：</w:t>
      </w:r>
      <w:r>
        <w:rPr>
          <w:rFonts w:hint="eastAsia" w:ascii="宋体" w:hAnsi="宋体" w:cs="宋体"/>
          <w:color w:val="000000"/>
          <w:sz w:val="24"/>
          <w:szCs w:val="24"/>
          <w:highlight w:val="none"/>
          <w:u w:val="single"/>
          <w:lang w:eastAsia="zh-CN"/>
        </w:rPr>
        <w:t>镇江晟科工程管理咨询有限公司</w:t>
      </w:r>
    </w:p>
    <w:p w14:paraId="7C05E7D8">
      <w:pPr>
        <w:spacing w:line="440" w:lineRule="exact"/>
        <w:ind w:firstLine="480"/>
        <w:rPr>
          <w:rFonts w:hint="eastAsia" w:ascii="宋体" w:hAnsi="宋体" w:eastAsia="宋体"/>
          <w:color w:val="000000"/>
          <w:sz w:val="24"/>
          <w:szCs w:val="24"/>
          <w:highlight w:val="none"/>
          <w:u w:val="single"/>
          <w:lang w:eastAsia="zh-CN"/>
        </w:rPr>
      </w:pPr>
      <w:r>
        <w:rPr>
          <w:rFonts w:hint="eastAsia" w:ascii="宋体" w:hAnsi="宋体"/>
          <w:color w:val="000000"/>
          <w:sz w:val="24"/>
          <w:szCs w:val="24"/>
          <w:highlight w:val="none"/>
        </w:rPr>
        <w:t>地址：</w:t>
      </w:r>
      <w:r>
        <w:rPr>
          <w:rFonts w:hint="eastAsia" w:ascii="宋体" w:hAnsi="宋体"/>
          <w:color w:val="000000"/>
          <w:sz w:val="24"/>
          <w:szCs w:val="24"/>
          <w:highlight w:val="none"/>
          <w:u w:val="single"/>
          <w:lang w:eastAsia="zh-CN"/>
        </w:rPr>
        <w:t>镇江市扬中市三茅街道三丰路1号</w:t>
      </w:r>
    </w:p>
    <w:p w14:paraId="2AAA5D3F">
      <w:pPr>
        <w:spacing w:line="440" w:lineRule="exact"/>
        <w:ind w:firstLine="480"/>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联系人：</w:t>
      </w:r>
      <w:r>
        <w:rPr>
          <w:rFonts w:hint="eastAsia" w:ascii="宋体" w:hAnsi="宋体"/>
          <w:color w:val="000000"/>
          <w:sz w:val="24"/>
          <w:szCs w:val="24"/>
          <w:highlight w:val="none"/>
          <w:u w:val="single"/>
          <w:lang w:val="en-US" w:eastAsia="zh-CN"/>
        </w:rPr>
        <w:t>姚一鸣</w:t>
      </w:r>
    </w:p>
    <w:p w14:paraId="0042D7B2">
      <w:pPr>
        <w:spacing w:line="440" w:lineRule="exact"/>
        <w:ind w:firstLine="480"/>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联系方式：</w:t>
      </w:r>
      <w:bookmarkStart w:id="45" w:name="_Toc28359087"/>
      <w:bookmarkStart w:id="46" w:name="_Toc28359010"/>
      <w:r>
        <w:rPr>
          <w:rFonts w:hint="eastAsia" w:ascii="宋体" w:hAnsi="宋体"/>
          <w:color w:val="000000"/>
          <w:sz w:val="24"/>
          <w:szCs w:val="24"/>
          <w:highlight w:val="none"/>
          <w:u w:val="single"/>
          <w:lang w:val="en-US" w:eastAsia="zh-CN"/>
        </w:rPr>
        <w:t>14705280248</w:t>
      </w:r>
    </w:p>
    <w:bookmarkEnd w:id="45"/>
    <w:bookmarkEnd w:id="46"/>
    <w:p w14:paraId="3EC9451D">
      <w:pPr>
        <w:pStyle w:val="240"/>
        <w:spacing w:before="145" w:after="145" w:line="440" w:lineRule="exact"/>
        <w:ind w:firstLine="373"/>
        <w:rPr>
          <w:color w:val="000000"/>
          <w:sz w:val="24"/>
          <w:szCs w:val="24"/>
          <w:highlight w:val="none"/>
        </w:rPr>
      </w:pPr>
      <w:r>
        <w:rPr>
          <w:rFonts w:hint="eastAsia"/>
          <w:color w:val="000000"/>
          <w:sz w:val="24"/>
          <w:szCs w:val="24"/>
          <w:highlight w:val="none"/>
        </w:rPr>
        <w:t>八、其他</w:t>
      </w:r>
    </w:p>
    <w:p w14:paraId="3A0CC36D">
      <w:pPr>
        <w:tabs>
          <w:tab w:val="left" w:pos="900"/>
        </w:tabs>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1.有关本次磋商的事项若存在变动或修改，敬请及时关注“江苏政府采购网”、“扬中政府采购网”发布的更正公告。</w:t>
      </w:r>
    </w:p>
    <w:p w14:paraId="4380F350">
      <w:pPr>
        <w:tabs>
          <w:tab w:val="left" w:pos="900"/>
        </w:tabs>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2.本次磋商不收取磋商保证金。</w:t>
      </w:r>
    </w:p>
    <w:p w14:paraId="48926380">
      <w:pPr>
        <w:spacing w:line="440" w:lineRule="exact"/>
        <w:ind w:firstLine="480"/>
        <w:rPr>
          <w:rFonts w:hint="eastAsia" w:ascii="宋体" w:hAnsi="宋体"/>
          <w:color w:val="000000"/>
          <w:sz w:val="24"/>
          <w:highlight w:val="none"/>
        </w:rPr>
      </w:pPr>
    </w:p>
    <w:p w14:paraId="0BD90183">
      <w:pPr>
        <w:pStyle w:val="3"/>
        <w:spacing w:line="360" w:lineRule="auto"/>
        <w:ind w:firstLine="560"/>
        <w:jc w:val="right"/>
        <w:rPr>
          <w:rFonts w:ascii="仿宋" w:hAnsi="仿宋" w:eastAsia="仿宋"/>
          <w:color w:val="auto"/>
          <w:sz w:val="30"/>
          <w:szCs w:val="30"/>
        </w:rPr>
      </w:pPr>
      <w:r>
        <w:rPr>
          <w:rFonts w:ascii="宋体" w:hAnsi="宋体"/>
          <w:color w:val="000000"/>
          <w:sz w:val="24"/>
          <w:szCs w:val="24"/>
          <w:highlight w:val="none"/>
        </w:rPr>
        <w:br w:type="page" w:clear="all"/>
      </w:r>
    </w:p>
    <w:p w14:paraId="6A736CD1">
      <w:pPr>
        <w:pStyle w:val="3"/>
        <w:numPr>
          <w:ilvl w:val="0"/>
          <w:numId w:val="0"/>
        </w:numPr>
        <w:spacing w:line="360" w:lineRule="auto"/>
        <w:jc w:val="center"/>
        <w:outlineLvl w:val="0"/>
        <w:rPr>
          <w:rFonts w:hint="eastAsia" w:ascii="仿宋" w:hAnsi="仿宋" w:eastAsia="仿宋" w:cs="Times New Roman"/>
          <w:b/>
          <w:color w:val="auto"/>
          <w:sz w:val="44"/>
          <w:szCs w:val="44"/>
          <w:lang w:val="en-US" w:eastAsia="zh-CN"/>
        </w:rPr>
      </w:pPr>
      <w:bookmarkStart w:id="47" w:name="_Toc120614211"/>
      <w:r>
        <w:rPr>
          <w:rFonts w:hint="eastAsia" w:ascii="仿宋" w:hAnsi="仿宋" w:eastAsia="仿宋" w:cs="Times New Roman"/>
          <w:b/>
          <w:color w:val="auto"/>
          <w:sz w:val="44"/>
          <w:szCs w:val="44"/>
          <w:lang w:val="en-US" w:eastAsia="zh-CN"/>
        </w:rPr>
        <w:t xml:space="preserve">第二章  </w:t>
      </w:r>
      <w:bookmarkEnd w:id="47"/>
      <w:bookmarkStart w:id="48" w:name="_Toc20823274"/>
      <w:bookmarkStart w:id="49" w:name="_Toc120614213"/>
      <w:bookmarkStart w:id="50" w:name="_Toc513029202"/>
      <w:bookmarkStart w:id="51" w:name="_Toc16938518"/>
      <w:r>
        <w:rPr>
          <w:rFonts w:hint="eastAsia" w:ascii="仿宋" w:hAnsi="仿宋" w:eastAsia="仿宋" w:cs="Times New Roman"/>
          <w:b/>
          <w:color w:val="auto"/>
          <w:sz w:val="44"/>
          <w:szCs w:val="44"/>
          <w:lang w:val="en-US" w:eastAsia="zh-CN"/>
        </w:rPr>
        <w:t>供应商须知</w:t>
      </w:r>
      <w:bookmarkEnd w:id="48"/>
      <w:bookmarkEnd w:id="49"/>
      <w:bookmarkEnd w:id="50"/>
      <w:bookmarkEnd w:id="51"/>
    </w:p>
    <w:p w14:paraId="5AD59521">
      <w:pPr>
        <w:keepNext/>
        <w:keepLines/>
        <w:spacing w:before="145" w:beforeLines="50" w:after="145" w:afterLines="50" w:line="440" w:lineRule="exact"/>
        <w:ind w:firstLine="373" w:firstLineChars="155"/>
        <w:outlineLvl w:val="2"/>
        <w:rPr>
          <w:rFonts w:hint="eastAsia" w:ascii="Times New Roman" w:hAnsi="Times New Roman"/>
          <w:b/>
          <w:bCs/>
          <w:color w:val="auto"/>
          <w:sz w:val="24"/>
          <w:szCs w:val="24"/>
          <w:highlight w:val="none"/>
        </w:rPr>
      </w:pPr>
      <w:bookmarkStart w:id="52" w:name="_Toc513029203"/>
      <w:bookmarkStart w:id="53" w:name="_Toc16938519"/>
      <w:bookmarkStart w:id="54" w:name="_Toc120614214"/>
      <w:bookmarkStart w:id="55" w:name="_Toc20823275"/>
      <w:bookmarkStart w:id="56" w:name="_Toc479757207"/>
      <w:bookmarkStart w:id="57" w:name="_Toc513029242"/>
      <w:bookmarkStart w:id="58" w:name="_Toc120614221"/>
      <w:bookmarkStart w:id="59" w:name="_Toc20823314"/>
      <w:bookmarkStart w:id="60" w:name="_Toc16938558"/>
      <w:r>
        <w:rPr>
          <w:rFonts w:hint="eastAsia" w:ascii="Times New Roman" w:hAnsi="Times New Roman"/>
          <w:b/>
          <w:bCs/>
          <w:color w:val="auto"/>
          <w:sz w:val="24"/>
          <w:szCs w:val="24"/>
          <w:highlight w:val="none"/>
        </w:rPr>
        <w:t>一、总则</w:t>
      </w:r>
      <w:bookmarkEnd w:id="52"/>
      <w:bookmarkEnd w:id="53"/>
      <w:bookmarkEnd w:id="54"/>
      <w:bookmarkEnd w:id="55"/>
    </w:p>
    <w:p w14:paraId="51979A4C">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61" w:name="_Hlt16619475"/>
      <w:bookmarkEnd w:id="61"/>
      <w:bookmarkStart w:id="62" w:name="_Toc458694821"/>
      <w:bookmarkStart w:id="63" w:name="_Toc513029204"/>
      <w:bookmarkStart w:id="64" w:name="_Toc16938520"/>
      <w:bookmarkStart w:id="65" w:name="_Toc20823276"/>
      <w:r>
        <w:rPr>
          <w:rFonts w:hint="eastAsia" w:ascii="Arial" w:hAnsi="Arial" w:eastAsia="黑体" w:cs="Arial"/>
          <w:color w:val="auto"/>
          <w:sz w:val="24"/>
          <w:szCs w:val="24"/>
          <w:highlight w:val="none"/>
        </w:rPr>
        <w:t>1</w:t>
      </w:r>
      <w:bookmarkEnd w:id="62"/>
      <w:r>
        <w:rPr>
          <w:rFonts w:hint="eastAsia" w:ascii="Arial" w:hAnsi="Arial" w:eastAsia="黑体" w:cs="Arial"/>
          <w:color w:val="auto"/>
          <w:sz w:val="24"/>
          <w:szCs w:val="24"/>
          <w:highlight w:val="none"/>
        </w:rPr>
        <w:t>、采购方式</w:t>
      </w:r>
      <w:bookmarkEnd w:id="63"/>
      <w:bookmarkEnd w:id="64"/>
      <w:bookmarkEnd w:id="65"/>
    </w:p>
    <w:p w14:paraId="6177ADF5">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 本次政府采购活动采取竞争性磋商(以下简称磋商)方式，本磋商文件仅适用于磋商公告中所述项目。</w:t>
      </w:r>
    </w:p>
    <w:p w14:paraId="0ACEB0FF">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66" w:name="_Toc16938521"/>
      <w:bookmarkStart w:id="67" w:name="_Toc20823277"/>
      <w:bookmarkStart w:id="68" w:name="_Toc513029205"/>
      <w:r>
        <w:rPr>
          <w:rFonts w:hint="eastAsia" w:ascii="Arial" w:hAnsi="Arial" w:eastAsia="黑体" w:cs="Arial"/>
          <w:color w:val="auto"/>
          <w:sz w:val="24"/>
          <w:szCs w:val="24"/>
          <w:highlight w:val="none"/>
        </w:rPr>
        <w:t>2、合格的</w:t>
      </w:r>
      <w:bookmarkEnd w:id="66"/>
      <w:bookmarkEnd w:id="67"/>
      <w:bookmarkEnd w:id="68"/>
      <w:r>
        <w:rPr>
          <w:rFonts w:hint="eastAsia" w:ascii="Arial" w:hAnsi="Arial" w:eastAsia="黑体" w:cs="Arial"/>
          <w:color w:val="auto"/>
          <w:sz w:val="24"/>
          <w:szCs w:val="24"/>
          <w:highlight w:val="none"/>
        </w:rPr>
        <w:t>供应商</w:t>
      </w:r>
    </w:p>
    <w:p w14:paraId="3100A62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2.1满足磋商公告中供应商资格要求的规定。</w:t>
      </w:r>
    </w:p>
    <w:p w14:paraId="3C741CF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 满足本磋商文件实质性要求和条件的规定。</w:t>
      </w:r>
    </w:p>
    <w:p w14:paraId="4B155FEB">
      <w:pPr>
        <w:keepNext/>
        <w:keepLines/>
        <w:spacing w:line="440" w:lineRule="exact"/>
        <w:ind w:firstLine="360" w:firstLineChars="150"/>
        <w:outlineLvl w:val="3"/>
        <w:rPr>
          <w:rFonts w:ascii="Arial" w:hAnsi="Arial" w:eastAsia="黑体" w:cs="Arial"/>
          <w:color w:val="auto"/>
          <w:sz w:val="24"/>
          <w:szCs w:val="24"/>
          <w:highlight w:val="none"/>
        </w:rPr>
      </w:pPr>
      <w:bookmarkStart w:id="69" w:name="_Toc20823278"/>
      <w:bookmarkStart w:id="70" w:name="_Toc513029206"/>
      <w:bookmarkStart w:id="71" w:name="_Toc16938522"/>
      <w:r>
        <w:rPr>
          <w:rFonts w:hint="eastAsia" w:ascii="Arial" w:hAnsi="Arial" w:eastAsia="黑体" w:cs="Arial"/>
          <w:color w:val="auto"/>
          <w:sz w:val="24"/>
          <w:szCs w:val="24"/>
          <w:highlight w:val="none"/>
        </w:rPr>
        <w:t>3、适用法律</w:t>
      </w:r>
      <w:bookmarkEnd w:id="69"/>
      <w:bookmarkEnd w:id="70"/>
      <w:bookmarkEnd w:id="71"/>
      <w:r>
        <w:rPr>
          <w:rFonts w:hint="eastAsia" w:ascii="Arial" w:hAnsi="Arial" w:eastAsia="黑体" w:cs="Arial"/>
          <w:color w:val="auto"/>
          <w:sz w:val="24"/>
          <w:szCs w:val="24"/>
          <w:highlight w:val="none"/>
        </w:rPr>
        <w:t>及政策功能</w:t>
      </w:r>
    </w:p>
    <w:p w14:paraId="769F939F">
      <w:pPr>
        <w:spacing w:line="440" w:lineRule="exact"/>
        <w:ind w:firstLine="420" w:firstLineChars="175"/>
        <w:rPr>
          <w:rFonts w:ascii="宋体" w:hAnsi="宋体"/>
          <w:color w:val="auto"/>
          <w:sz w:val="24"/>
          <w:highlight w:val="none"/>
        </w:rPr>
      </w:pPr>
      <w:bookmarkStart w:id="72" w:name="_Toc20823279"/>
      <w:bookmarkStart w:id="73" w:name="_Toc16938523"/>
      <w:bookmarkStart w:id="74" w:name="_Toc462564067"/>
      <w:bookmarkStart w:id="75" w:name="_Toc513029207"/>
      <w:r>
        <w:rPr>
          <w:rFonts w:hint="eastAsia" w:ascii="宋体" w:hAnsi="宋体"/>
          <w:color w:val="auto"/>
          <w:sz w:val="24"/>
          <w:highlight w:val="none"/>
        </w:rPr>
        <w:t>本次招标及由此产生的合同受中华人民共和国有关的法律法规制约和保护</w:t>
      </w:r>
      <w:r>
        <w:rPr>
          <w:rFonts w:ascii="宋体" w:hAnsi="宋体"/>
          <w:color w:val="auto"/>
          <w:sz w:val="24"/>
          <w:highlight w:val="none"/>
        </w:rPr>
        <w:t>。</w:t>
      </w:r>
    </w:p>
    <w:p w14:paraId="5149D737">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3.1支持中小企业发展</w:t>
      </w:r>
    </w:p>
    <w:p w14:paraId="64BA4A82">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3.1.1中小企业，是指在中华人民共和国境内依法设立，依据国务院批准的中小企业划分标准确定的中型企业、小型企业和微型企业，但与大企业的负责人为同一人，或者与大企业存在直接控股、管理关系的除外。</w:t>
      </w:r>
    </w:p>
    <w:p w14:paraId="35E791B1">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符合中小企业划分标准的个体工商户，在政府采购活动中视同中小企业。</w:t>
      </w:r>
    </w:p>
    <w:p w14:paraId="50D84D15">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3.1.2在政府采购活动中，</w:t>
      </w:r>
      <w:r>
        <w:rPr>
          <w:rFonts w:hint="eastAsia" w:ascii="宋体" w:hAnsi="宋体"/>
          <w:color w:val="auto"/>
          <w:sz w:val="24"/>
          <w:highlight w:val="none"/>
          <w:lang w:eastAsia="zh-CN"/>
        </w:rPr>
        <w:t>供应商</w:t>
      </w:r>
      <w:r>
        <w:rPr>
          <w:rFonts w:hint="eastAsia" w:ascii="宋体" w:hAnsi="宋体"/>
          <w:color w:val="auto"/>
          <w:sz w:val="24"/>
          <w:highlight w:val="none"/>
        </w:rPr>
        <w:t>提供的货物、工程或者服务符合下列情形的，享受中小企业扶持政策：</w:t>
      </w:r>
    </w:p>
    <w:p w14:paraId="7BB45EB9">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3.1.2.1在货物采购项目中，货物由中小企业制造，即货物由中小企业生产且使用该中小企业商号或者注册商标；</w:t>
      </w:r>
    </w:p>
    <w:p w14:paraId="0D7CBCAE">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3.1.2.2在工程采购项目中，工程由中小企业承建，即工程施工单位为中小企业；</w:t>
      </w:r>
    </w:p>
    <w:p w14:paraId="6B61AEC6">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3.1.2.3在服务采购项目中，服务由中小企业承接，即提供服务的人员为中小企业依照《中华人民共和国劳动合同法》订立劳动合同的从业人员。</w:t>
      </w:r>
    </w:p>
    <w:p w14:paraId="6442CD7B">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在货物采购项目中，</w:t>
      </w:r>
      <w:r>
        <w:rPr>
          <w:rFonts w:hint="eastAsia" w:ascii="宋体" w:hAnsi="宋体"/>
          <w:color w:val="auto"/>
          <w:sz w:val="24"/>
          <w:highlight w:val="none"/>
          <w:lang w:eastAsia="zh-CN"/>
        </w:rPr>
        <w:t>供应商</w:t>
      </w:r>
      <w:r>
        <w:rPr>
          <w:rFonts w:hint="eastAsia" w:ascii="宋体" w:hAnsi="宋体"/>
          <w:color w:val="auto"/>
          <w:sz w:val="24"/>
          <w:highlight w:val="none"/>
        </w:rPr>
        <w:t>提供的货物既有中小企业制造货物，也有大型企业制造货物的，不享受中小企业扶持政策。</w:t>
      </w:r>
    </w:p>
    <w:p w14:paraId="30199E77">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以联合体形式参加政府采购活动，联合体各方均为中小企业的，联合体视同中小企业。其中，联合体各方均为小微企业的，联合体视同小微企业。</w:t>
      </w:r>
    </w:p>
    <w:p w14:paraId="75A37FB0">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3.1.3根据《政府采购促进中小企业发展管理办法》要求，对于未预留份额专门面向中小企业的政府采购货物或服务项目，以及预留份额政府采购货物或服务项目中的非预留部分标项，对小型和微型企业的投标报价给予</w:t>
      </w:r>
      <w:bookmarkStart w:id="76" w:name="_Hlk132637972"/>
      <w:r>
        <w:rPr>
          <w:rFonts w:hint="eastAsia" w:ascii="宋体" w:hAnsi="宋体"/>
          <w:color w:val="auto"/>
          <w:sz w:val="24"/>
          <w:highlight w:val="none"/>
        </w:rPr>
        <w:t>10%-20%</w:t>
      </w:r>
      <w:bookmarkEnd w:id="76"/>
      <w:r>
        <w:rPr>
          <w:rFonts w:hint="eastAsia" w:ascii="宋体" w:hAnsi="宋体"/>
          <w:color w:val="auto"/>
          <w:sz w:val="24"/>
          <w:highlight w:val="none"/>
        </w:rPr>
        <w:t>的扣除，</w:t>
      </w:r>
      <w:bookmarkStart w:id="77" w:name="_Hlk132637893"/>
      <w:r>
        <w:rPr>
          <w:rFonts w:hint="eastAsia" w:ascii="宋体" w:hAnsi="宋体"/>
          <w:color w:val="auto"/>
          <w:sz w:val="24"/>
          <w:highlight w:val="none"/>
        </w:rPr>
        <w:t>用扣除后的价格参与评审</w:t>
      </w:r>
      <w:bookmarkEnd w:id="77"/>
      <w:r>
        <w:rPr>
          <w:rFonts w:hint="eastAsia" w:ascii="宋体" w:hAnsi="宋体"/>
          <w:color w:val="auto"/>
          <w:sz w:val="24"/>
          <w:highlight w:val="none"/>
        </w:rPr>
        <w:t>。接受大中型企业与小微企业组成联合体或者允许大中型企业向一家或者多家小微企业分包的政府采购货物或服务项目，对于联合协议或者分包意向协议约定小型、微型企业的协议合同金额占到合同总金额30%以上的，给予联合体4%-6%的价格扣除。联合体各方均为小型、微型企业的，联合体视同为小型、微型企业享受10%-20%的价格扣除，用扣除后的价格参与评审。可享受中小企业扶持政策的</w:t>
      </w:r>
      <w:r>
        <w:rPr>
          <w:rFonts w:hint="eastAsia" w:ascii="宋体" w:hAnsi="宋体"/>
          <w:color w:val="auto"/>
          <w:sz w:val="24"/>
          <w:highlight w:val="none"/>
          <w:lang w:eastAsia="zh-CN"/>
        </w:rPr>
        <w:t>供应商</w:t>
      </w:r>
      <w:r>
        <w:rPr>
          <w:rFonts w:hint="eastAsia" w:ascii="宋体" w:hAnsi="宋体"/>
          <w:color w:val="auto"/>
          <w:sz w:val="24"/>
          <w:highlight w:val="none"/>
        </w:rPr>
        <w:t>应按照</w:t>
      </w:r>
      <w:r>
        <w:rPr>
          <w:rFonts w:hint="eastAsia" w:ascii="宋体" w:hAnsi="宋体"/>
          <w:color w:val="auto"/>
          <w:sz w:val="24"/>
          <w:highlight w:val="none"/>
          <w:lang w:eastAsia="zh-CN"/>
        </w:rPr>
        <w:t>采购文件</w:t>
      </w:r>
      <w:r>
        <w:rPr>
          <w:rFonts w:hint="eastAsia" w:ascii="宋体" w:hAnsi="宋体"/>
          <w:color w:val="auto"/>
          <w:sz w:val="24"/>
          <w:highlight w:val="none"/>
        </w:rPr>
        <w:t>格式要求提供《中小企业声明函》，</w:t>
      </w:r>
      <w:r>
        <w:rPr>
          <w:rFonts w:hint="eastAsia" w:ascii="宋体" w:hAnsi="宋体"/>
          <w:color w:val="auto"/>
          <w:sz w:val="24"/>
          <w:highlight w:val="none"/>
          <w:lang w:eastAsia="zh-CN"/>
        </w:rPr>
        <w:t>供应商</w:t>
      </w:r>
      <w:r>
        <w:rPr>
          <w:rFonts w:hint="eastAsia" w:ascii="宋体" w:hAnsi="宋体"/>
          <w:color w:val="auto"/>
          <w:sz w:val="24"/>
          <w:highlight w:val="none"/>
        </w:rPr>
        <w:t>提供的《中小企业声明函》与实际情况不符的，不享受中小企业扶持政策。声明内容不实属于提供虚假材料谋取中标、成交的，依法承担法律责任。中小企业划型标准见《关于印发中小企业划型标准规定的通知》（工信部联企业[2011]300号）。</w:t>
      </w:r>
    </w:p>
    <w:p w14:paraId="0C54103F">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3.1.4根据《财政部 司法部关于政府采购支持监狱企业发展有关问题的通知》（财库〔2014〕68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14:paraId="03B9E953">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3.1.5根据《关于促进残疾人就业政府采购政策的通知》（财库〔2017〕141号）要求，残疾人福利性单位视同小型、微型企业，享受与小型、微型企业产品价格同比例扣除的优惠政策。符合条件的残疾人福利性单位应当提供《残疾人福利性单位声明函》，并对声明的真实性负责。</w:t>
      </w:r>
    </w:p>
    <w:p w14:paraId="77E76734">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3.1.6中小企业享受扶持政策获得政府采购合同的，小微企业不得将合同分包给大中型企业，中型企业不得将合同分包给大型企业。</w:t>
      </w:r>
    </w:p>
    <w:p w14:paraId="759ABBF4">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3.2强制采购信息安全产品</w:t>
      </w:r>
    </w:p>
    <w:p w14:paraId="1041E1A1">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信息安全产品指国家质检总局国家认监委《信息安全产品强制性认证目录》，并获得强制性产品认证证书的产品。</w:t>
      </w:r>
    </w:p>
    <w:p w14:paraId="6A11977E">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3.3支持绿色发展</w:t>
      </w:r>
    </w:p>
    <w:p w14:paraId="1BBA3C5C">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3.3.1根据《财政部 发展改革委 生态环境部 市场监管总局关于调整优化节能产品 环境标志产品政府采购执行机制的通知》（财库〔2019〕9号）的规定，对政府采购节能产品、环境标志产品实施品目清单管理。供应商所投产品属于品目清单范围的，依据国家确定的认证机构出具的、处于有效期之内的节能产品、环境标志产品认证证书，对获得证书的产品实施政府优先采购或强制采购。</w:t>
      </w:r>
    </w:p>
    <w:p w14:paraId="595A9E84">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3.3.2本项目中涉及商品包装和快递包装的，参考《财政部办公厅关于印发《商品包装政府采购需求标准（试行）》、 《快递包装政府采购需求标准（试行）》的通知》</w:t>
      </w:r>
      <w:bookmarkStart w:id="78" w:name="_Hlk132634610"/>
      <w:r>
        <w:rPr>
          <w:rFonts w:hint="eastAsia" w:ascii="宋体" w:hAnsi="宋体"/>
          <w:color w:val="auto"/>
          <w:sz w:val="24"/>
          <w:highlight w:val="none"/>
        </w:rPr>
        <w:t>（财办库〔2020〕123号）</w:t>
      </w:r>
      <w:bookmarkEnd w:id="78"/>
      <w:r>
        <w:rPr>
          <w:rFonts w:hint="eastAsia" w:ascii="宋体" w:hAnsi="宋体"/>
          <w:color w:val="auto"/>
          <w:sz w:val="24"/>
          <w:highlight w:val="none"/>
        </w:rPr>
        <w:t>规定的包装需求标准。</w:t>
      </w:r>
    </w:p>
    <w:p w14:paraId="5FA78884">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3.3.3纳入政府采购管理的装修、修缮等项目，鼓励参考财政部办公厅 住房城乡建设部办公厅 工业和信息化部办公厅关于印发《政府采购支持绿色建材促进建筑品质提升政策项目实施指南》的通知（财办库〔2023〕52号）规定的需求标准。</w:t>
      </w:r>
    </w:p>
    <w:p w14:paraId="423F1494">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3.3.4采购人采购数据中心相关设备、运维服务，按照《绿色数据中心政府采购需求标准（试行）》实施相关采购活动。</w:t>
      </w:r>
    </w:p>
    <w:p w14:paraId="407FDA22">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 xml:space="preserve">3.4 </w:t>
      </w:r>
      <w:r>
        <w:rPr>
          <w:rFonts w:hint="eastAsia" w:ascii="宋体" w:hAnsi="宋体" w:eastAsia="宋体" w:cs="Times New Roman"/>
          <w:color w:val="auto"/>
          <w:sz w:val="24"/>
          <w:highlight w:val="none"/>
        </w:rPr>
        <w:t>根据国家扶持中小企业的有关政策，采购项目中标人在履约过程中如遇到资金困难，凭政府采购合同在相关金融机构办理授信申请，相关事宜</w:t>
      </w:r>
      <w:r>
        <w:rPr>
          <w:rFonts w:hint="eastAsia" w:ascii="宋体" w:hAnsi="宋体" w:eastAsia="宋体" w:cs="Times New Roman"/>
          <w:color w:val="auto"/>
          <w:sz w:val="24"/>
          <w:highlight w:val="none"/>
          <w:lang w:val="en-US" w:eastAsia="zh-CN"/>
        </w:rPr>
        <w:t>详见江苏政府采购</w:t>
      </w:r>
      <w:r>
        <w:rPr>
          <w:rFonts w:hint="eastAsia" w:ascii="宋体" w:hAnsi="宋体" w:eastAsia="宋体" w:cs="Times New Roman"/>
          <w:color w:val="auto"/>
          <w:sz w:val="24"/>
          <w:highlight w:val="none"/>
        </w:rPr>
        <w:t>网站</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政采贷</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栏目</w:t>
      </w:r>
      <w:r>
        <w:rPr>
          <w:rFonts w:hint="eastAsia" w:ascii="宋体" w:hAnsi="宋体" w:eastAsia="宋体" w:cs="Times New Roman"/>
          <w:color w:val="auto"/>
          <w:sz w:val="24"/>
          <w:highlight w:val="none"/>
        </w:rPr>
        <w:t>。</w:t>
      </w:r>
    </w:p>
    <w:p w14:paraId="2903F1AB">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3.5支持创新发展</w:t>
      </w:r>
    </w:p>
    <w:p w14:paraId="01426B5D">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3.5.1采购人优先采购被认定为重点推广应用、首台（套）重大装备、重点领域首版次软件的自主创新产品。</w:t>
      </w:r>
    </w:p>
    <w:p w14:paraId="625A85EE">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3.6平等对待内外资企业和符合条件的破产重整企业</w:t>
      </w:r>
    </w:p>
    <w:p w14:paraId="39FF08EC">
      <w:pPr>
        <w:spacing w:line="440" w:lineRule="exact"/>
        <w:ind w:firstLine="420" w:firstLineChars="175"/>
        <w:rPr>
          <w:rFonts w:hint="eastAsia" w:ascii="宋体" w:hAnsi="宋体"/>
          <w:color w:val="auto"/>
          <w:sz w:val="24"/>
          <w:highlight w:val="none"/>
        </w:rPr>
      </w:pPr>
      <w:r>
        <w:rPr>
          <w:rFonts w:hint="eastAsia" w:ascii="宋体" w:hAnsi="宋体"/>
          <w:color w:val="auto"/>
          <w:sz w:val="24"/>
          <w:highlight w:val="none"/>
        </w:rPr>
        <w:t>3.6.1平等对待内外资企业和符合条件的破产重整企业，切实保障企业公平竞争，平等维护企业的合法利益。</w:t>
      </w:r>
    </w:p>
    <w:p w14:paraId="6456A844">
      <w:pPr>
        <w:keepNext/>
        <w:keepLines/>
        <w:spacing w:line="440" w:lineRule="exact"/>
        <w:ind w:firstLine="360" w:firstLineChars="150"/>
        <w:outlineLvl w:val="3"/>
        <w:rPr>
          <w:rFonts w:hint="eastAsia" w:ascii="Arial" w:hAnsi="Arial" w:eastAsia="黑体" w:cs="Arial"/>
          <w:color w:val="auto"/>
          <w:sz w:val="24"/>
          <w:szCs w:val="24"/>
          <w:highlight w:val="none"/>
        </w:rPr>
      </w:pPr>
      <w:r>
        <w:rPr>
          <w:rFonts w:hint="eastAsia" w:ascii="Arial" w:hAnsi="Arial" w:eastAsia="黑体" w:cs="Arial"/>
          <w:color w:val="auto"/>
          <w:sz w:val="24"/>
          <w:szCs w:val="24"/>
          <w:highlight w:val="none"/>
        </w:rPr>
        <w:t>4、磋商费用</w:t>
      </w:r>
      <w:bookmarkEnd w:id="72"/>
      <w:bookmarkEnd w:id="73"/>
      <w:bookmarkEnd w:id="74"/>
      <w:bookmarkEnd w:id="75"/>
    </w:p>
    <w:p w14:paraId="1E5AC8C4">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bCs/>
          <w:color w:val="auto"/>
          <w:sz w:val="24"/>
          <w:szCs w:val="24"/>
          <w:highlight w:val="none"/>
        </w:rPr>
        <w:t>4.1</w:t>
      </w:r>
      <w:r>
        <w:rPr>
          <w:rFonts w:hint="eastAsia" w:ascii="宋体" w:hAnsi="宋体"/>
          <w:color w:val="auto"/>
          <w:sz w:val="24"/>
          <w:szCs w:val="24"/>
          <w:highlight w:val="none"/>
        </w:rPr>
        <w:t>供应商应自行承担所有与参加本次磋商有关的费用，无论磋商过程中的做法和结果如何，</w:t>
      </w:r>
      <w:r>
        <w:rPr>
          <w:rFonts w:hint="eastAsia" w:ascii="宋体" w:hAnsi="宋体" w:eastAsia="宋体" w:cs="Times New Roman"/>
          <w:color w:val="auto"/>
          <w:sz w:val="24"/>
          <w:szCs w:val="24"/>
          <w:highlight w:val="none"/>
          <w:lang w:eastAsia="zh-CN"/>
        </w:rPr>
        <w:t>镇江晟科工程管理咨询有限公司</w:t>
      </w:r>
      <w:r>
        <w:rPr>
          <w:rFonts w:hint="eastAsia" w:ascii="宋体" w:hAnsi="宋体" w:eastAsia="宋体" w:cs="Times New Roman"/>
          <w:color w:val="auto"/>
          <w:sz w:val="24"/>
          <w:szCs w:val="24"/>
          <w:highlight w:val="none"/>
        </w:rPr>
        <w:t>在任何情况下均无义务和责任承担这些费用。</w:t>
      </w:r>
    </w:p>
    <w:p w14:paraId="154A3F0B">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4.2本次磋商不收取标书工本费。</w:t>
      </w:r>
    </w:p>
    <w:p w14:paraId="70C3FBDF">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4.3招标代理费收费标准：经采购人及招标代理双方协商确定招标代理服务费为</w:t>
      </w:r>
      <w:r>
        <w:rPr>
          <w:rFonts w:hint="eastAsia" w:ascii="宋体" w:hAnsi="宋体" w:eastAsia="宋体" w:cs="Times New Roman"/>
          <w:bCs/>
          <w:color w:val="auto"/>
          <w:sz w:val="24"/>
          <w:szCs w:val="24"/>
          <w:highlight w:val="none"/>
          <w:lang w:val="en-US" w:eastAsia="zh-CN"/>
        </w:rPr>
        <w:t>人民币</w:t>
      </w:r>
      <w:r>
        <w:rPr>
          <w:rFonts w:hint="eastAsia" w:ascii="宋体" w:hAnsi="宋体"/>
          <w:b/>
          <w:bCs w:val="0"/>
          <w:color w:val="auto"/>
          <w:sz w:val="24"/>
          <w:szCs w:val="24"/>
          <w:highlight w:val="none"/>
          <w:lang w:val="en-US" w:eastAsia="zh-CN"/>
        </w:rPr>
        <w:t>肆万贰仟元整(¥42000.00)</w:t>
      </w:r>
      <w:r>
        <w:rPr>
          <w:rFonts w:hint="eastAsia" w:ascii="宋体" w:hAnsi="宋体"/>
          <w:bCs/>
          <w:color w:val="auto"/>
          <w:sz w:val="24"/>
          <w:szCs w:val="24"/>
          <w:highlight w:val="none"/>
        </w:rPr>
        <w:t>，由</w:t>
      </w:r>
      <w:r>
        <w:rPr>
          <w:rFonts w:hint="eastAsia" w:ascii="宋体" w:hAnsi="宋体"/>
          <w:bCs/>
          <w:color w:val="auto"/>
          <w:sz w:val="24"/>
          <w:szCs w:val="24"/>
          <w:highlight w:val="none"/>
          <w:lang w:val="en-US" w:eastAsia="zh-CN"/>
        </w:rPr>
        <w:t>成交</w:t>
      </w:r>
      <w:r>
        <w:rPr>
          <w:rFonts w:hint="eastAsia" w:ascii="宋体" w:hAnsi="宋体"/>
          <w:bCs/>
          <w:color w:val="auto"/>
          <w:sz w:val="24"/>
          <w:szCs w:val="24"/>
          <w:highlight w:val="none"/>
        </w:rPr>
        <w:t>人支付；</w:t>
      </w:r>
    </w:p>
    <w:p w14:paraId="0B3B48FA">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4.4招标代理费收取方式：由成交人领取成交通知书时一次性付清；成交人如果未按规定缴纳上述费用，采购人或采购代理机构保留诉讼的权利。成交人需要开代理费发票的，需由成交人缴纳费用后，代理机构将发票开具给成交人。</w:t>
      </w:r>
    </w:p>
    <w:p w14:paraId="627CD289">
      <w:pPr>
        <w:keepNext/>
        <w:keepLines/>
        <w:spacing w:line="440" w:lineRule="exact"/>
        <w:ind w:firstLine="241" w:firstLineChars="100"/>
        <w:outlineLvl w:val="3"/>
        <w:rPr>
          <w:rFonts w:hint="eastAsia" w:ascii="黑体" w:hAnsi="宋体" w:eastAsia="黑体" w:cs="Arial"/>
          <w:color w:val="auto"/>
          <w:sz w:val="24"/>
          <w:szCs w:val="24"/>
          <w:highlight w:val="none"/>
        </w:rPr>
      </w:pPr>
      <w:r>
        <w:rPr>
          <w:rFonts w:hint="eastAsia" w:ascii="宋体" w:hAnsi="宋体" w:eastAsia="黑体" w:cs="Arial"/>
          <w:b/>
          <w:bCs/>
          <w:color w:val="auto"/>
          <w:sz w:val="24"/>
          <w:szCs w:val="24"/>
          <w:highlight w:val="none"/>
        </w:rPr>
        <w:t>5、</w:t>
      </w:r>
      <w:r>
        <w:rPr>
          <w:rFonts w:hint="eastAsia" w:ascii="黑体" w:hAnsi="宋体" w:eastAsia="黑体" w:cs="Arial"/>
          <w:color w:val="auto"/>
          <w:sz w:val="24"/>
          <w:szCs w:val="24"/>
          <w:highlight w:val="none"/>
        </w:rPr>
        <w:t>磋商文件的约束力</w:t>
      </w:r>
    </w:p>
    <w:p w14:paraId="5453CE7C">
      <w:pPr>
        <w:spacing w:line="44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5.1</w:t>
      </w:r>
      <w:r>
        <w:rPr>
          <w:rFonts w:hint="eastAsia" w:ascii="宋体" w:hAnsi="宋体"/>
          <w:color w:val="auto"/>
          <w:sz w:val="24"/>
          <w:szCs w:val="24"/>
          <w:highlight w:val="none"/>
        </w:rPr>
        <w:t>供应商一旦参加本项目采购活动，即被认为接受了本磋商文件的规定和约束。</w:t>
      </w:r>
    </w:p>
    <w:p w14:paraId="33A097AD">
      <w:pPr>
        <w:keepNext/>
        <w:keepLines/>
        <w:spacing w:before="145" w:beforeLines="50" w:after="145" w:afterLines="50" w:line="440" w:lineRule="exact"/>
        <w:ind w:firstLine="373" w:firstLineChars="155"/>
        <w:outlineLvl w:val="2"/>
        <w:rPr>
          <w:rFonts w:hint="eastAsia" w:ascii="Times New Roman" w:hAnsi="Times New Roman"/>
          <w:b/>
          <w:bCs/>
          <w:color w:val="auto"/>
          <w:sz w:val="24"/>
          <w:szCs w:val="24"/>
          <w:highlight w:val="none"/>
        </w:rPr>
      </w:pPr>
      <w:bookmarkStart w:id="79" w:name="_Toc120614215"/>
      <w:bookmarkStart w:id="80" w:name="_Toc16938525"/>
      <w:bookmarkStart w:id="81" w:name="_Toc513029209"/>
      <w:bookmarkStart w:id="82" w:name="_Toc20823281"/>
      <w:r>
        <w:rPr>
          <w:rFonts w:hint="eastAsia" w:ascii="Times New Roman" w:hAnsi="Times New Roman"/>
          <w:b/>
          <w:bCs/>
          <w:color w:val="auto"/>
          <w:sz w:val="24"/>
          <w:szCs w:val="24"/>
          <w:highlight w:val="none"/>
        </w:rPr>
        <w:t>二、</w:t>
      </w:r>
      <w:bookmarkEnd w:id="79"/>
      <w:bookmarkEnd w:id="80"/>
      <w:bookmarkEnd w:id="81"/>
      <w:bookmarkEnd w:id="82"/>
      <w:r>
        <w:rPr>
          <w:rFonts w:hint="eastAsia" w:ascii="Times New Roman" w:hAnsi="Times New Roman"/>
          <w:b/>
          <w:bCs/>
          <w:color w:val="auto"/>
          <w:sz w:val="24"/>
          <w:szCs w:val="24"/>
          <w:highlight w:val="none"/>
        </w:rPr>
        <w:t>磋商文件</w:t>
      </w:r>
    </w:p>
    <w:p w14:paraId="2FBBE97E">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83" w:name="_Toc513029210"/>
      <w:bookmarkStart w:id="84" w:name="_Toc16938526"/>
      <w:bookmarkStart w:id="85" w:name="_Toc20823282"/>
      <w:r>
        <w:rPr>
          <w:rFonts w:hint="eastAsia" w:ascii="Arial" w:hAnsi="Arial" w:eastAsia="黑体" w:cs="Arial"/>
          <w:color w:val="auto"/>
          <w:sz w:val="24"/>
          <w:szCs w:val="24"/>
          <w:highlight w:val="none"/>
        </w:rPr>
        <w:t>6、磋商文件构成</w:t>
      </w:r>
      <w:bookmarkEnd w:id="83"/>
      <w:bookmarkEnd w:id="84"/>
      <w:bookmarkEnd w:id="85"/>
    </w:p>
    <w:p w14:paraId="50033504">
      <w:pPr>
        <w:spacing w:line="44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6.1</w:t>
      </w:r>
      <w:r>
        <w:rPr>
          <w:rFonts w:hint="eastAsia" w:ascii="宋体" w:hAnsi="宋体"/>
          <w:color w:val="auto"/>
          <w:sz w:val="24"/>
          <w:szCs w:val="24"/>
          <w:highlight w:val="none"/>
        </w:rPr>
        <w:t>磋商文件由以下部分组成：</w:t>
      </w:r>
    </w:p>
    <w:p w14:paraId="6584F20A">
      <w:pPr>
        <w:spacing w:line="44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（1）磋商</w:t>
      </w:r>
      <w:r>
        <w:rPr>
          <w:rFonts w:ascii="宋体" w:hAnsi="宋体"/>
          <w:color w:val="auto"/>
          <w:sz w:val="24"/>
          <w:szCs w:val="24"/>
          <w:highlight w:val="none"/>
        </w:rPr>
        <w:t>邀请</w:t>
      </w:r>
    </w:p>
    <w:p w14:paraId="0C7A5EC9">
      <w:pPr>
        <w:spacing w:line="44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（2）供应商须知</w:t>
      </w:r>
    </w:p>
    <w:p w14:paraId="33E6F580">
      <w:pPr>
        <w:spacing w:line="44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（3）合同文本</w:t>
      </w:r>
    </w:p>
    <w:p w14:paraId="7C2D23F1">
      <w:pPr>
        <w:spacing w:line="44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（4）采购需求</w:t>
      </w:r>
    </w:p>
    <w:p w14:paraId="7EC2054E">
      <w:pPr>
        <w:spacing w:line="440" w:lineRule="exact"/>
        <w:ind w:firstLine="360" w:firstLineChars="150"/>
        <w:rPr>
          <w:rFonts w:hint="eastAsia" w:ascii="Times New Roman" w:hAnsi="Times New Roman"/>
          <w:color w:val="auto"/>
          <w:sz w:val="24"/>
          <w:szCs w:val="24"/>
          <w:highlight w:val="none"/>
        </w:rPr>
      </w:pPr>
      <w:r>
        <w:rPr>
          <w:rFonts w:hint="eastAsia" w:ascii="宋体" w:hAnsi="宋体"/>
          <w:color w:val="auto"/>
          <w:sz w:val="24"/>
          <w:szCs w:val="24"/>
          <w:highlight w:val="none"/>
        </w:rPr>
        <w:t>（5）</w:t>
      </w:r>
      <w:r>
        <w:rPr>
          <w:rFonts w:hint="eastAsia" w:ascii="Times New Roman" w:hAnsi="宋体"/>
          <w:color w:val="auto"/>
          <w:sz w:val="24"/>
          <w:szCs w:val="24"/>
          <w:highlight w:val="none"/>
        </w:rPr>
        <w:t>评审方法与评审标准</w:t>
      </w:r>
    </w:p>
    <w:p w14:paraId="0369C7C2">
      <w:pPr>
        <w:spacing w:line="44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（6）响应文件格式</w:t>
      </w:r>
    </w:p>
    <w:p w14:paraId="363B8FAB">
      <w:pPr>
        <w:spacing w:line="44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请仔细检查磋商文件是否齐全，如有缺漏请立即与采购代理机构联系解决。</w:t>
      </w:r>
    </w:p>
    <w:p w14:paraId="66CF9B21">
      <w:pPr>
        <w:spacing w:line="44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6.2</w:t>
      </w:r>
      <w:r>
        <w:rPr>
          <w:rFonts w:hint="eastAsia" w:ascii="宋体" w:hAnsi="宋体"/>
          <w:color w:val="auto"/>
          <w:sz w:val="24"/>
          <w:szCs w:val="24"/>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DA1EDEC">
      <w:pPr>
        <w:keepNext/>
        <w:keepLines/>
        <w:spacing w:line="440" w:lineRule="exact"/>
        <w:ind w:firstLine="480" w:firstLineChars="200"/>
        <w:outlineLvl w:val="3"/>
        <w:rPr>
          <w:rFonts w:hint="eastAsia" w:ascii="Arial" w:hAnsi="Arial" w:eastAsia="黑体" w:cs="Arial"/>
          <w:color w:val="auto"/>
          <w:sz w:val="24"/>
          <w:szCs w:val="24"/>
          <w:highlight w:val="none"/>
        </w:rPr>
      </w:pPr>
      <w:bookmarkStart w:id="86" w:name="_Toc462564070"/>
      <w:bookmarkStart w:id="87" w:name="_Toc20823283"/>
      <w:bookmarkStart w:id="88" w:name="_Toc16938527"/>
      <w:bookmarkStart w:id="89" w:name="_Toc513029211"/>
      <w:r>
        <w:rPr>
          <w:rFonts w:hint="eastAsia" w:ascii="Arial" w:hAnsi="Arial" w:eastAsia="黑体" w:cs="Arial"/>
          <w:color w:val="auto"/>
          <w:sz w:val="24"/>
          <w:szCs w:val="24"/>
          <w:highlight w:val="none"/>
        </w:rPr>
        <w:t>7、磋商文件的澄清</w:t>
      </w:r>
      <w:bookmarkEnd w:id="86"/>
      <w:bookmarkEnd w:id="87"/>
      <w:bookmarkEnd w:id="88"/>
      <w:bookmarkEnd w:id="89"/>
    </w:p>
    <w:p w14:paraId="4CC87DFE">
      <w:pPr>
        <w:spacing w:line="44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7.1</w:t>
      </w:r>
      <w:r>
        <w:rPr>
          <w:rFonts w:hint="eastAsia" w:ascii="宋体" w:hAnsi="宋体"/>
          <w:color w:val="auto"/>
          <w:sz w:val="24"/>
          <w:szCs w:val="24"/>
          <w:highlight w:val="none"/>
        </w:rPr>
        <w:t xml:space="preserve"> 任何要求对磋商文件进行澄清的供应商，应在磋商截止期5日</w:t>
      </w:r>
      <w:r>
        <w:rPr>
          <w:rFonts w:hint="eastAsia" w:ascii="仿宋_GB2312" w:hAnsi="仿宋_GB2312"/>
          <w:color w:val="auto"/>
          <w:sz w:val="24"/>
          <w:szCs w:val="24"/>
          <w:highlight w:val="none"/>
        </w:rPr>
        <w:t>前</w:t>
      </w:r>
      <w:r>
        <w:rPr>
          <w:rFonts w:hint="eastAsia" w:ascii="宋体" w:hAnsi="宋体"/>
          <w:color w:val="auto"/>
          <w:sz w:val="24"/>
          <w:szCs w:val="24"/>
          <w:highlight w:val="none"/>
        </w:rPr>
        <w:t>按磋商公告中的通讯地址，以书面形式通知采购人或采购代理机构。</w:t>
      </w:r>
    </w:p>
    <w:p w14:paraId="6A4479D9">
      <w:pPr>
        <w:keepNext/>
        <w:keepLines/>
        <w:spacing w:line="440" w:lineRule="exact"/>
        <w:ind w:firstLine="480" w:firstLineChars="200"/>
        <w:outlineLvl w:val="3"/>
        <w:rPr>
          <w:rFonts w:hint="eastAsia" w:ascii="Arial" w:hAnsi="Arial" w:eastAsia="黑体" w:cs="Arial"/>
          <w:color w:val="auto"/>
          <w:sz w:val="24"/>
          <w:szCs w:val="24"/>
          <w:highlight w:val="none"/>
        </w:rPr>
      </w:pPr>
      <w:bookmarkStart w:id="90" w:name="_Toc462564071"/>
      <w:bookmarkStart w:id="91" w:name="_Toc20823284"/>
      <w:bookmarkStart w:id="92" w:name="_Toc16938528"/>
      <w:bookmarkStart w:id="93" w:name="_Toc513029212"/>
      <w:r>
        <w:rPr>
          <w:rFonts w:hint="eastAsia" w:ascii="Arial" w:hAnsi="Arial" w:eastAsia="黑体" w:cs="Arial"/>
          <w:color w:val="auto"/>
          <w:sz w:val="24"/>
          <w:szCs w:val="24"/>
          <w:highlight w:val="none"/>
        </w:rPr>
        <w:t>8、磋商文件的澄清和修改</w:t>
      </w:r>
      <w:bookmarkEnd w:id="90"/>
      <w:bookmarkEnd w:id="91"/>
      <w:bookmarkEnd w:id="92"/>
      <w:bookmarkEnd w:id="93"/>
    </w:p>
    <w:p w14:paraId="6F50803E">
      <w:pPr>
        <w:spacing w:line="440" w:lineRule="exact"/>
        <w:ind w:firstLine="539"/>
        <w:rPr>
          <w:rFonts w:ascii="宋体" w:hAnsi="宋体"/>
          <w:color w:val="auto"/>
          <w:sz w:val="24"/>
          <w:szCs w:val="24"/>
          <w:highlight w:val="none"/>
        </w:rPr>
      </w:pPr>
      <w:r>
        <w:rPr>
          <w:rFonts w:hint="eastAsia" w:ascii="宋体" w:hAnsi="宋体"/>
          <w:color w:val="auto"/>
          <w:sz w:val="24"/>
          <w:szCs w:val="24"/>
          <w:highlight w:val="none"/>
        </w:rPr>
        <w:t>8.1任何要求对磋商文件进行澄清的潜在供应商，应及时联系项目联系人。</w:t>
      </w:r>
    </w:p>
    <w:p w14:paraId="04AF44C7">
      <w:pPr>
        <w:spacing w:line="440" w:lineRule="exact"/>
        <w:ind w:firstLine="539"/>
        <w:rPr>
          <w:rFonts w:ascii="宋体" w:hAnsi="宋体"/>
          <w:color w:val="auto"/>
          <w:sz w:val="24"/>
          <w:szCs w:val="24"/>
          <w:highlight w:val="none"/>
        </w:rPr>
      </w:pPr>
      <w:r>
        <w:rPr>
          <w:rFonts w:hint="eastAsia" w:ascii="宋体" w:hAnsi="宋体"/>
          <w:color w:val="auto"/>
          <w:sz w:val="24"/>
          <w:szCs w:val="24"/>
          <w:highlight w:val="none"/>
        </w:rPr>
        <w:t>8.2按照权责相一致原则，供应商提出的对于磋商文件主要商务、技术指标的相关澄清、修改要求，由采购人负责答复并视情况作出澄清或修改的决定。</w:t>
      </w:r>
    </w:p>
    <w:p w14:paraId="109DCAD9">
      <w:pPr>
        <w:spacing w:line="440" w:lineRule="exact"/>
        <w:ind w:firstLine="539"/>
        <w:rPr>
          <w:rFonts w:ascii="宋体" w:hAnsi="宋体"/>
          <w:color w:val="auto"/>
          <w:sz w:val="24"/>
          <w:szCs w:val="24"/>
          <w:highlight w:val="none"/>
        </w:rPr>
      </w:pPr>
      <w:r>
        <w:rPr>
          <w:rFonts w:hint="eastAsia" w:ascii="宋体" w:hAnsi="宋体"/>
          <w:color w:val="auto"/>
          <w:sz w:val="24"/>
          <w:szCs w:val="24"/>
          <w:highlight w:val="none"/>
        </w:rPr>
        <w:t>8.3采购人或者采购代理机构可以对已发出的磋商文件、磋商邀请书进行必要的澄清或者修改，但不改变采购标的和资格要求。澄清或者修改将在“江苏政府采购网”、“扬中政府采购网”上发布澄清公告，澄清或者修改的内容为磋商文件、磋商邀请书的组成部分。</w:t>
      </w:r>
    </w:p>
    <w:p w14:paraId="314CB801">
      <w:pPr>
        <w:spacing w:line="440" w:lineRule="exact"/>
        <w:ind w:firstLine="539"/>
        <w:rPr>
          <w:rFonts w:ascii="宋体" w:hAnsi="宋体"/>
          <w:color w:val="auto"/>
          <w:sz w:val="24"/>
          <w:szCs w:val="24"/>
          <w:highlight w:val="none"/>
        </w:rPr>
      </w:pPr>
      <w:r>
        <w:rPr>
          <w:rFonts w:hint="eastAsia" w:ascii="宋体" w:hAnsi="宋体"/>
          <w:color w:val="auto"/>
          <w:sz w:val="24"/>
          <w:szCs w:val="24"/>
          <w:highlight w:val="none"/>
        </w:rPr>
        <w:t>8.4澄清或者修改的内容可能影响磋商文件编制的，采购人或者采购代理机构将在提交首次磋商响应文件截止时间至少5日前，以书面形式通知所有获取磋商文件的供应商；不足5日的，采购人、采购代理机构应当顺延提交首次磋商响应文件截止时间。</w:t>
      </w:r>
    </w:p>
    <w:p w14:paraId="258F2D72">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8.5如澄清或修改公告有重新发布磋商文件的，供应商应领取最新发布的磋商文件制作磋商响应文件。因供应商自身原因未能及时获取的，一切后果由供应商自行承担。</w:t>
      </w:r>
    </w:p>
    <w:p w14:paraId="31B4A824">
      <w:pPr>
        <w:keepNext/>
        <w:keepLines/>
        <w:spacing w:before="145" w:beforeLines="50" w:after="145" w:afterLines="50" w:line="440" w:lineRule="exact"/>
        <w:ind w:firstLine="373" w:firstLineChars="155"/>
        <w:outlineLvl w:val="2"/>
        <w:rPr>
          <w:rFonts w:hint="eastAsia" w:ascii="Times New Roman" w:hAnsi="Times New Roman"/>
          <w:b/>
          <w:bCs/>
          <w:color w:val="auto"/>
          <w:sz w:val="24"/>
          <w:szCs w:val="24"/>
          <w:highlight w:val="none"/>
        </w:rPr>
      </w:pPr>
      <w:bookmarkStart w:id="94" w:name="_Toc20823285"/>
      <w:bookmarkStart w:id="95" w:name="_Toc513029213"/>
      <w:bookmarkStart w:id="96" w:name="_Toc16938529"/>
      <w:bookmarkStart w:id="97" w:name="_Toc462564072"/>
      <w:bookmarkStart w:id="98" w:name="_Toc120614216"/>
      <w:r>
        <w:rPr>
          <w:rFonts w:hint="eastAsia" w:ascii="Times New Roman" w:hAnsi="Times New Roman"/>
          <w:b/>
          <w:bCs/>
          <w:color w:val="auto"/>
          <w:sz w:val="24"/>
          <w:szCs w:val="24"/>
          <w:highlight w:val="none"/>
        </w:rPr>
        <w:t>三、响应文件的编制</w:t>
      </w:r>
      <w:bookmarkEnd w:id="94"/>
      <w:bookmarkEnd w:id="95"/>
      <w:bookmarkEnd w:id="96"/>
      <w:bookmarkEnd w:id="97"/>
      <w:bookmarkEnd w:id="98"/>
    </w:p>
    <w:p w14:paraId="36601865">
      <w:pPr>
        <w:keepNext/>
        <w:keepLines/>
        <w:spacing w:line="440" w:lineRule="exact"/>
        <w:ind w:firstLine="480" w:firstLineChars="200"/>
        <w:outlineLvl w:val="3"/>
        <w:rPr>
          <w:rFonts w:hint="eastAsia" w:ascii="Arial" w:hAnsi="Arial" w:eastAsia="黑体" w:cs="Arial"/>
          <w:b/>
          <w:color w:val="auto"/>
          <w:sz w:val="24"/>
          <w:szCs w:val="24"/>
          <w:highlight w:val="none"/>
        </w:rPr>
      </w:pPr>
      <w:bookmarkStart w:id="99" w:name="_Toc462564073"/>
      <w:bookmarkStart w:id="100" w:name="_Toc513029214"/>
      <w:bookmarkStart w:id="101" w:name="_Toc16938530"/>
      <w:bookmarkStart w:id="102" w:name="_Toc20823286"/>
      <w:r>
        <w:rPr>
          <w:rFonts w:hint="eastAsia" w:ascii="Arial" w:hAnsi="Arial" w:eastAsia="黑体" w:cs="Arial"/>
          <w:color w:val="auto"/>
          <w:sz w:val="24"/>
          <w:szCs w:val="24"/>
          <w:highlight w:val="none"/>
        </w:rPr>
        <w:t>9、响应文件的语言及度量衡单位</w:t>
      </w:r>
      <w:bookmarkEnd w:id="99"/>
      <w:bookmarkEnd w:id="100"/>
      <w:bookmarkEnd w:id="101"/>
      <w:bookmarkEnd w:id="102"/>
    </w:p>
    <w:p w14:paraId="13739D2C">
      <w:pPr>
        <w:spacing w:line="44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9.1</w:t>
      </w:r>
      <w:r>
        <w:rPr>
          <w:rFonts w:hint="eastAsia" w:ascii="宋体" w:hAnsi="宋体"/>
          <w:color w:val="auto"/>
          <w:sz w:val="24"/>
          <w:szCs w:val="24"/>
          <w:highlight w:val="none"/>
        </w:rPr>
        <w:t>供应商提交的响应文件以及供应商与采购人或采购代理机构就有关磋商的所有来往通知、函件和文件均应使用</w:t>
      </w:r>
      <w:r>
        <w:rPr>
          <w:rFonts w:hint="eastAsia" w:ascii="宋体" w:hAnsi="宋体"/>
          <w:b/>
          <w:bCs/>
          <w:color w:val="auto"/>
          <w:sz w:val="24"/>
          <w:szCs w:val="24"/>
          <w:highlight w:val="none"/>
        </w:rPr>
        <w:t>简体中文</w:t>
      </w:r>
      <w:r>
        <w:rPr>
          <w:rFonts w:hint="eastAsia" w:ascii="宋体" w:hAnsi="宋体"/>
          <w:color w:val="auto"/>
          <w:sz w:val="24"/>
          <w:szCs w:val="24"/>
          <w:highlight w:val="none"/>
        </w:rPr>
        <w:t>。</w:t>
      </w:r>
    </w:p>
    <w:p w14:paraId="517EDB96">
      <w:pPr>
        <w:spacing w:line="44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9.2</w:t>
      </w:r>
      <w:r>
        <w:rPr>
          <w:rFonts w:hint="eastAsia" w:ascii="宋体" w:hAnsi="宋体"/>
          <w:color w:val="auto"/>
          <w:sz w:val="24"/>
          <w:szCs w:val="24"/>
          <w:highlight w:val="none"/>
        </w:rPr>
        <w:t xml:space="preserve"> 除技术性能另有规定外，响应文件所使用的度量衡单位，均须采用国家法定计量单位。</w:t>
      </w:r>
    </w:p>
    <w:p w14:paraId="02E994BE">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103" w:name="_Toc513029215"/>
      <w:bookmarkStart w:id="104" w:name="_Toc462564074"/>
      <w:bookmarkStart w:id="105" w:name="_Toc20823287"/>
      <w:bookmarkStart w:id="106" w:name="_Toc16938531"/>
      <w:r>
        <w:rPr>
          <w:rFonts w:hint="eastAsia" w:ascii="Arial" w:hAnsi="Arial" w:eastAsia="黑体" w:cs="Arial"/>
          <w:color w:val="auto"/>
          <w:sz w:val="24"/>
          <w:szCs w:val="24"/>
          <w:highlight w:val="none"/>
        </w:rPr>
        <w:t>10、响应文件构成</w:t>
      </w:r>
      <w:bookmarkEnd w:id="103"/>
      <w:bookmarkEnd w:id="104"/>
      <w:bookmarkEnd w:id="105"/>
      <w:bookmarkEnd w:id="106"/>
    </w:p>
    <w:p w14:paraId="153B5696">
      <w:pPr>
        <w:spacing w:line="44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10.1</w:t>
      </w:r>
      <w:r>
        <w:rPr>
          <w:rFonts w:hint="eastAsia" w:ascii="宋体" w:hAnsi="宋体"/>
          <w:color w:val="auto"/>
          <w:sz w:val="24"/>
          <w:szCs w:val="24"/>
          <w:highlight w:val="none"/>
        </w:rPr>
        <w:t>供应商编写的响应文件应包括资格证明文件、符合性证明文件、分项报价表、技术要求响应及偏离表、商务要求响应及偏离表、其他证明文件、磋商响应函等部分。</w:t>
      </w:r>
    </w:p>
    <w:p w14:paraId="1ABA72D0">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10.2 如标书制作工具中格式和内容与“江苏政府采购网”、“扬中政府采购网”发布的磋商文件不一致，请以“江苏政府采购网”、“扬中政府采购网”发布的磋商文件为准。</w:t>
      </w:r>
    </w:p>
    <w:p w14:paraId="048B5A7D">
      <w:pPr>
        <w:keepNext/>
        <w:keepLines/>
        <w:spacing w:line="440" w:lineRule="exact"/>
        <w:ind w:firstLine="360" w:firstLineChars="150"/>
        <w:outlineLvl w:val="3"/>
        <w:rPr>
          <w:rFonts w:hint="eastAsia" w:ascii="Arial" w:hAnsi="Arial" w:eastAsia="黑体" w:cs="Arial"/>
          <w:color w:val="auto"/>
          <w:sz w:val="24"/>
          <w:szCs w:val="24"/>
          <w:highlight w:val="none"/>
          <w:lang w:eastAsia="zh-CN"/>
        </w:rPr>
      </w:pPr>
      <w:r>
        <w:rPr>
          <w:rFonts w:hint="eastAsia" w:ascii="Arial" w:hAnsi="Arial" w:eastAsia="黑体" w:cs="Arial"/>
          <w:color w:val="auto"/>
          <w:sz w:val="24"/>
          <w:szCs w:val="24"/>
          <w:highlight w:val="none"/>
          <w:lang w:val="en-US" w:eastAsia="zh-CN"/>
        </w:rPr>
        <w:t>11</w:t>
      </w:r>
      <w:r>
        <w:rPr>
          <w:rFonts w:hint="eastAsia" w:ascii="Arial" w:hAnsi="Arial" w:eastAsia="黑体" w:cs="Arial"/>
          <w:color w:val="auto"/>
          <w:sz w:val="24"/>
          <w:szCs w:val="24"/>
          <w:highlight w:val="none"/>
        </w:rPr>
        <w:t>、</w:t>
      </w:r>
      <w:r>
        <w:rPr>
          <w:rFonts w:hint="eastAsia" w:ascii="Arial" w:hAnsi="Arial" w:eastAsia="黑体" w:cs="Arial"/>
          <w:color w:val="auto"/>
          <w:sz w:val="24"/>
          <w:szCs w:val="24"/>
          <w:highlight w:val="none"/>
          <w:lang w:eastAsia="zh-CN"/>
        </w:rPr>
        <w:t>响应文件</w:t>
      </w:r>
      <w:r>
        <w:rPr>
          <w:rFonts w:hint="eastAsia" w:ascii="Arial" w:hAnsi="Arial" w:eastAsia="黑体" w:cs="Arial"/>
          <w:color w:val="auto"/>
          <w:sz w:val="24"/>
          <w:szCs w:val="24"/>
          <w:highlight w:val="none"/>
        </w:rPr>
        <w:t>的</w:t>
      </w:r>
      <w:r>
        <w:rPr>
          <w:rFonts w:hint="eastAsia" w:ascii="Arial" w:hAnsi="Arial" w:eastAsia="黑体" w:cs="Arial"/>
          <w:color w:val="auto"/>
          <w:sz w:val="24"/>
          <w:szCs w:val="24"/>
          <w:highlight w:val="none"/>
          <w:lang w:val="en-US" w:eastAsia="zh-CN"/>
        </w:rPr>
        <w:t>组成</w:t>
      </w:r>
    </w:p>
    <w:p w14:paraId="3D13F8ED">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.1 投标函</w:t>
      </w:r>
    </w:p>
    <w:p w14:paraId="6CCFA79B">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.2 环卫作业服务技术方案</w:t>
      </w:r>
    </w:p>
    <w:p w14:paraId="36C12366">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 xml:space="preserve"> 本项目拟投入人员配置一览表</w:t>
      </w:r>
    </w:p>
    <w:p w14:paraId="03C4A555">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 xml:space="preserve"> 项目负责人履历表</w:t>
      </w:r>
    </w:p>
    <w:p w14:paraId="7FBA943F">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 xml:space="preserve"> 拟投入本项目作业车辆汇总表</w:t>
      </w:r>
    </w:p>
    <w:p w14:paraId="4984F0C5">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资格证明文件</w:t>
      </w:r>
    </w:p>
    <w:p w14:paraId="3C4064EB">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开标（报价）一览表</w:t>
      </w:r>
    </w:p>
    <w:p w14:paraId="1D437F26">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 xml:space="preserve"> 授权委托书（格式）</w:t>
      </w:r>
    </w:p>
    <w:p w14:paraId="0B08F2A0">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 xml:space="preserve"> 法定代表人身份证明（格式）</w:t>
      </w:r>
    </w:p>
    <w:p w14:paraId="0245D53E">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val="en-US" w:eastAsia="zh-CN"/>
        </w:rPr>
        <w:t>0</w:t>
      </w:r>
      <w:r>
        <w:rPr>
          <w:rFonts w:hint="eastAsia" w:ascii="宋体" w:hAnsi="宋体" w:eastAsia="宋体" w:cs="Times New Roman"/>
          <w:color w:val="auto"/>
          <w:sz w:val="24"/>
          <w:szCs w:val="24"/>
          <w:highlight w:val="none"/>
        </w:rPr>
        <w:t>附件</w:t>
      </w:r>
    </w:p>
    <w:p w14:paraId="75AAA2EC">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 xml:space="preserve"> 按</w:t>
      </w:r>
      <w:r>
        <w:rPr>
          <w:rFonts w:hint="eastAsia" w:ascii="宋体" w:hAnsi="宋体" w:eastAsia="宋体" w:cs="Times New Roman"/>
          <w:color w:val="auto"/>
          <w:sz w:val="24"/>
          <w:szCs w:val="24"/>
          <w:highlight w:val="none"/>
          <w:lang w:val="en-US" w:eastAsia="zh-CN"/>
        </w:rPr>
        <w:t>采购</w:t>
      </w:r>
      <w:r>
        <w:rPr>
          <w:rFonts w:hint="eastAsia" w:ascii="宋体" w:hAnsi="宋体" w:eastAsia="宋体" w:cs="Times New Roman"/>
          <w:color w:val="auto"/>
          <w:sz w:val="24"/>
          <w:szCs w:val="24"/>
          <w:highlight w:val="none"/>
        </w:rPr>
        <w:t>文件要求</w:t>
      </w:r>
      <w:r>
        <w:rPr>
          <w:rFonts w:hint="eastAsia" w:ascii="宋体" w:hAnsi="宋体" w:eastAsia="宋体" w:cs="Times New Roman"/>
          <w:color w:val="auto"/>
          <w:sz w:val="24"/>
          <w:szCs w:val="24"/>
          <w:highlight w:val="none"/>
          <w:lang w:eastAsia="zh-CN"/>
        </w:rPr>
        <w:t>供应商</w:t>
      </w:r>
      <w:r>
        <w:rPr>
          <w:rFonts w:hint="eastAsia" w:ascii="宋体" w:hAnsi="宋体" w:eastAsia="宋体" w:cs="Times New Roman"/>
          <w:color w:val="auto"/>
          <w:sz w:val="24"/>
          <w:szCs w:val="24"/>
          <w:highlight w:val="none"/>
        </w:rPr>
        <w:t>所能提交的其他文件</w:t>
      </w:r>
    </w:p>
    <w:p w14:paraId="2FE786A9">
      <w:pPr>
        <w:keepNext/>
        <w:keepLines/>
        <w:spacing w:line="440" w:lineRule="exact"/>
        <w:ind w:firstLine="360" w:firstLineChars="150"/>
        <w:outlineLvl w:val="3"/>
        <w:rPr>
          <w:rFonts w:hint="eastAsia" w:ascii="Arial" w:hAnsi="Arial" w:eastAsia="黑体" w:cs="Arial"/>
          <w:color w:val="auto"/>
          <w:sz w:val="24"/>
          <w:szCs w:val="24"/>
          <w:highlight w:val="none"/>
          <w:lang w:val="en-US" w:eastAsia="zh-CN"/>
        </w:rPr>
      </w:pPr>
      <w:r>
        <w:rPr>
          <w:rFonts w:hint="eastAsia" w:ascii="Arial" w:hAnsi="Arial" w:eastAsia="黑体" w:cs="Arial"/>
          <w:color w:val="auto"/>
          <w:sz w:val="24"/>
          <w:szCs w:val="24"/>
          <w:highlight w:val="none"/>
          <w:lang w:val="en-US" w:eastAsia="zh-CN"/>
        </w:rPr>
        <w:t>12、响应文件的编制说明</w:t>
      </w:r>
    </w:p>
    <w:p w14:paraId="76531687">
      <w:pPr>
        <w:pStyle w:val="3"/>
        <w:spacing w:line="360" w:lineRule="auto"/>
        <w:ind w:firstLine="540"/>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供应商应仔细阅读</w:t>
      </w:r>
      <w:r>
        <w:rPr>
          <w:rFonts w:hint="eastAsia" w:ascii="宋体" w:hAnsi="宋体" w:cs="Times New Roman"/>
          <w:color w:val="auto"/>
          <w:sz w:val="24"/>
          <w:szCs w:val="24"/>
          <w:highlight w:val="none"/>
          <w:lang w:val="en-US" w:eastAsia="zh-CN" w:bidi="ar-SA"/>
        </w:rPr>
        <w:t>采购文件</w:t>
      </w:r>
      <w:r>
        <w:rPr>
          <w:rFonts w:hint="eastAsia" w:ascii="宋体" w:hAnsi="宋体" w:eastAsia="宋体" w:cs="Times New Roman"/>
          <w:color w:val="auto"/>
          <w:sz w:val="24"/>
          <w:szCs w:val="24"/>
          <w:highlight w:val="none"/>
          <w:lang w:val="en-US" w:eastAsia="zh-CN" w:bidi="ar-SA"/>
        </w:rPr>
        <w:t>，了解</w:t>
      </w:r>
      <w:r>
        <w:rPr>
          <w:rFonts w:hint="eastAsia" w:ascii="宋体" w:hAnsi="宋体" w:cs="Times New Roman"/>
          <w:color w:val="auto"/>
          <w:sz w:val="24"/>
          <w:szCs w:val="24"/>
          <w:highlight w:val="none"/>
          <w:lang w:val="en-US" w:eastAsia="zh-CN" w:bidi="ar-SA"/>
        </w:rPr>
        <w:t>采购文件</w:t>
      </w:r>
      <w:r>
        <w:rPr>
          <w:rFonts w:hint="eastAsia" w:ascii="宋体" w:hAnsi="宋体" w:eastAsia="宋体" w:cs="Times New Roman"/>
          <w:color w:val="auto"/>
          <w:sz w:val="24"/>
          <w:szCs w:val="24"/>
          <w:highlight w:val="none"/>
          <w:lang w:val="en-US" w:eastAsia="zh-CN" w:bidi="ar-SA"/>
        </w:rPr>
        <w:t>的要求。在完全了解采购要求后，编制投标响应文件。</w:t>
      </w:r>
    </w:p>
    <w:p w14:paraId="0571C04F">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12.1投标响应承诺函</w:t>
      </w:r>
    </w:p>
    <w:p w14:paraId="498E271E">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供应商应完整地按照投标响应承诺函格式和内容填写，并按要求盖章和签字。</w:t>
      </w:r>
    </w:p>
    <w:p w14:paraId="6FD9503D">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12.</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服务方案</w:t>
      </w:r>
    </w:p>
    <w:p w14:paraId="32BAE93A">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供应商应根据本项目具体类型，明确服务需求，准确分析，制订服务方案，方案中应确定本项目服务的重点及难点，有针对性地提出相应的措施。</w:t>
      </w:r>
    </w:p>
    <w:p w14:paraId="43E280C8">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12.4本项目拟投入人员配置一览表、项目负责人履历表</w:t>
      </w:r>
    </w:p>
    <w:p w14:paraId="3400B5A0">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供应商应对拟投入实施本项目的技术人员配备情况作说明，并需提供技术人员，项目负责人专业资格证书，专业技术等级或职称证明，同时注明拟投入的技术人员的类似经验。</w:t>
      </w:r>
    </w:p>
    <w:p w14:paraId="52E86E6C">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12.5资格证明文件（如复印件均应加盖</w:t>
      </w:r>
      <w:r>
        <w:rPr>
          <w:rFonts w:hint="eastAsia" w:ascii="宋体" w:hAnsi="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lang w:val="en-US" w:eastAsia="zh-CN"/>
        </w:rPr>
        <w:t>公章）</w:t>
      </w:r>
    </w:p>
    <w:p w14:paraId="0D862BCF">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（1）具有独立承担民事责任的能力（提供法人或者其他组织的营业执照等证明文件）；</w:t>
      </w:r>
    </w:p>
    <w:p w14:paraId="6DF84418">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（2）法定代表人/负责人授权委托书或法定代表人身份证明（原件）；</w:t>
      </w:r>
    </w:p>
    <w:p w14:paraId="35662799">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（3）具有良好的商业信誉和健全的财务会计制度</w:t>
      </w:r>
      <w:r>
        <w:rPr>
          <w:rFonts w:hint="eastAsia" w:ascii="宋体" w:hAnsi="宋体" w:cs="Times New Roman"/>
          <w:color w:val="auto"/>
          <w:sz w:val="24"/>
          <w:szCs w:val="24"/>
          <w:highlight w:val="none"/>
          <w:lang w:val="en-US" w:eastAsia="zh-CN"/>
        </w:rPr>
        <w:t>【</w:t>
      </w:r>
      <w:r>
        <w:rPr>
          <w:rFonts w:hint="eastAsia" w:ascii="宋体" w:hAnsi="宋体"/>
          <w:color w:val="000000"/>
          <w:sz w:val="24"/>
          <w:szCs w:val="28"/>
          <w:highlight w:val="none"/>
        </w:rPr>
        <w:t>提供202</w:t>
      </w:r>
      <w:r>
        <w:rPr>
          <w:rFonts w:hint="eastAsia" w:ascii="宋体" w:hAnsi="宋体"/>
          <w:color w:val="000000"/>
          <w:sz w:val="24"/>
          <w:szCs w:val="28"/>
          <w:highlight w:val="none"/>
          <w:lang w:val="en-US" w:eastAsia="zh-CN"/>
        </w:rPr>
        <w:t>3</w:t>
      </w:r>
      <w:r>
        <w:rPr>
          <w:rFonts w:hint="eastAsia" w:ascii="宋体" w:hAnsi="宋体"/>
          <w:color w:val="000000"/>
          <w:sz w:val="24"/>
          <w:szCs w:val="28"/>
          <w:highlight w:val="none"/>
        </w:rPr>
        <w:t>年度财务报告（成立不满一年的提供至少一个月财务报告）</w:t>
      </w:r>
      <w:r>
        <w:rPr>
          <w:rFonts w:hint="eastAsia" w:ascii="宋体" w:hAnsi="宋体" w:eastAsia="宋体" w:cs="Times New Roman"/>
          <w:color w:val="auto"/>
          <w:sz w:val="24"/>
          <w:szCs w:val="24"/>
          <w:highlight w:val="none"/>
        </w:rPr>
        <w:t>，或银行出具的资信证明，或财政部门认可的政府采购专业担保机构出具的投标担保函</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；事业单位提供上一年度财务报表）/资格承诺函；</w:t>
      </w:r>
    </w:p>
    <w:p w14:paraId="0286C3AE">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（4）具有履行合同所必需的设备和专业技术能力(投标响应单位相关信息一览表【见投标响应文件（格式）】）/资格承诺函；</w:t>
      </w:r>
    </w:p>
    <w:p w14:paraId="07AF9E0C">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（5）提供参加本次政府采购活动前一年内，在经营活动中没有重大违法记录的承诺函（见投标响应承诺函第8条）/资格承诺函</w:t>
      </w:r>
    </w:p>
    <w:p w14:paraId="3F6378E1">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（6）具有工商注册所在地相关部门提供的企业纳税的证明材料（参加本次政府采购活动前6个月内任一个月的缴税证明，事业单位请提供相关证明材料）/资格承诺函；</w:t>
      </w:r>
    </w:p>
    <w:p w14:paraId="1E52757E">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（7）具有工商注册所在地相关部门提供的社保缴费良好记录的证明材料（参加本次政府采购活动前6个月内任一个月的缴社会保险费证明）/资格承诺函；</w:t>
      </w:r>
    </w:p>
    <w:p w14:paraId="1C807EE5">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（8）信用查询结果。</w:t>
      </w:r>
    </w:p>
    <w:p w14:paraId="24DB8E79">
      <w:pPr>
        <w:spacing w:line="44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12.6附件（响应文件的补充材料，如果有，请提供。）</w:t>
      </w:r>
    </w:p>
    <w:p w14:paraId="3E29D36B">
      <w:pPr>
        <w:spacing w:line="440" w:lineRule="exact"/>
        <w:ind w:firstLine="480" w:firstLineChars="200"/>
        <w:rPr>
          <w:rFonts w:hint="eastAsia" w:ascii="宋体" w:hAnsi="宋体" w:eastAsia="宋体" w:cs="Times New Roman"/>
          <w:color w:val="auto"/>
          <w:sz w:val="24"/>
          <w:szCs w:val="24"/>
          <w:highlight w:val="none"/>
          <w:lang w:val="zh-TW" w:eastAsia="zh-TW"/>
        </w:rPr>
      </w:pPr>
      <w:r>
        <w:rPr>
          <w:rFonts w:hint="eastAsia" w:ascii="宋体" w:hAnsi="宋体" w:eastAsia="宋体" w:cs="Times New Roman"/>
          <w:color w:val="auto"/>
          <w:sz w:val="24"/>
          <w:szCs w:val="24"/>
          <w:highlight w:val="none"/>
          <w:lang w:val="zh-TW" w:eastAsia="zh-TW"/>
        </w:rPr>
        <w:t>①</w:t>
      </w:r>
      <w:r>
        <w:rPr>
          <w:rFonts w:hint="eastAsia" w:ascii="宋体" w:hAnsi="宋体" w:eastAsia="宋体" w:cs="Times New Roman"/>
          <w:color w:val="auto"/>
          <w:sz w:val="24"/>
          <w:szCs w:val="24"/>
          <w:highlight w:val="none"/>
          <w:lang w:val="en-US" w:eastAsia="zh-CN"/>
        </w:rPr>
        <w:t>供应商</w:t>
      </w:r>
      <w:r>
        <w:rPr>
          <w:rFonts w:hint="eastAsia" w:ascii="宋体" w:hAnsi="宋体" w:eastAsia="宋体" w:cs="Times New Roman"/>
          <w:color w:val="auto"/>
          <w:sz w:val="24"/>
          <w:szCs w:val="24"/>
          <w:highlight w:val="none"/>
          <w:lang w:val="zh-TW" w:eastAsia="zh-TW"/>
        </w:rPr>
        <w:t>资格声明；</w:t>
      </w:r>
    </w:p>
    <w:p w14:paraId="742EDA4B">
      <w:pPr>
        <w:spacing w:line="440" w:lineRule="exact"/>
        <w:ind w:firstLine="480" w:firstLineChars="200"/>
        <w:rPr>
          <w:rFonts w:hint="eastAsia" w:ascii="宋体" w:hAnsi="宋体" w:eastAsia="宋体" w:cs="Times New Roman"/>
          <w:color w:val="auto"/>
          <w:sz w:val="24"/>
          <w:szCs w:val="24"/>
          <w:highlight w:val="none"/>
          <w:lang w:val="zh-TW" w:eastAsia="zh-TW"/>
        </w:rPr>
      </w:pPr>
      <w:r>
        <w:rPr>
          <w:rFonts w:hint="eastAsia" w:ascii="宋体" w:hAnsi="宋体" w:eastAsia="宋体" w:cs="Times New Roman"/>
          <w:color w:val="auto"/>
          <w:sz w:val="24"/>
          <w:szCs w:val="24"/>
          <w:highlight w:val="none"/>
          <w:lang w:val="zh-TW" w:eastAsia="zh-TW"/>
        </w:rPr>
        <w:t>②评分规则中涉及得分项的相关证明材料；</w:t>
      </w:r>
    </w:p>
    <w:p w14:paraId="2BD938FA">
      <w:pPr>
        <w:spacing w:line="440" w:lineRule="exact"/>
        <w:ind w:firstLine="480" w:firstLineChars="200"/>
        <w:rPr>
          <w:rFonts w:hint="eastAsia" w:ascii="宋体" w:hAnsi="宋体" w:eastAsia="宋体" w:cs="Times New Roman"/>
          <w:color w:val="auto"/>
          <w:sz w:val="24"/>
          <w:szCs w:val="24"/>
          <w:highlight w:val="none"/>
          <w:lang w:val="zh-TW" w:eastAsia="zh-TW"/>
        </w:rPr>
      </w:pPr>
      <w:r>
        <w:rPr>
          <w:rFonts w:hint="eastAsia" w:ascii="宋体" w:hAnsi="宋体" w:eastAsia="宋体" w:cs="Times New Roman"/>
          <w:color w:val="auto"/>
          <w:sz w:val="24"/>
          <w:szCs w:val="24"/>
          <w:highlight w:val="none"/>
          <w:lang w:val="zh-TW" w:eastAsia="zh-TW"/>
        </w:rPr>
        <w:t>③中小企业声明函；</w:t>
      </w:r>
    </w:p>
    <w:p w14:paraId="164EA8A7">
      <w:pPr>
        <w:spacing w:line="440" w:lineRule="exact"/>
        <w:ind w:firstLine="480" w:firstLineChars="200"/>
        <w:rPr>
          <w:rFonts w:hint="eastAsia" w:ascii="宋体" w:hAnsi="宋体" w:eastAsia="宋体" w:cs="Times New Roman"/>
          <w:color w:val="auto"/>
          <w:sz w:val="24"/>
          <w:szCs w:val="24"/>
          <w:highlight w:val="none"/>
          <w:lang w:val="zh-TW" w:eastAsia="zh-CN"/>
        </w:rPr>
      </w:pPr>
      <w:r>
        <w:rPr>
          <w:rFonts w:hint="eastAsia" w:ascii="宋体" w:hAnsi="宋体" w:eastAsia="宋体" w:cs="Times New Roman"/>
          <w:color w:val="auto"/>
          <w:sz w:val="24"/>
          <w:szCs w:val="24"/>
          <w:highlight w:val="none"/>
          <w:lang w:val="zh-TW" w:eastAsia="zh-TW"/>
        </w:rPr>
        <w:t>④残疾人福利性单位声明函</w:t>
      </w:r>
      <w:r>
        <w:rPr>
          <w:rFonts w:hint="eastAsia" w:ascii="宋体" w:hAnsi="宋体" w:eastAsia="宋体" w:cs="Times New Roman"/>
          <w:color w:val="auto"/>
          <w:sz w:val="24"/>
          <w:szCs w:val="24"/>
          <w:highlight w:val="none"/>
          <w:lang w:val="zh-TW" w:eastAsia="zh-CN"/>
        </w:rPr>
        <w:t>。</w:t>
      </w:r>
    </w:p>
    <w:p w14:paraId="2174AA48">
      <w:pPr>
        <w:spacing w:line="440" w:lineRule="exact"/>
        <w:ind w:firstLine="482" w:firstLineChars="20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注：各供应商须对本项目所要求提供的所有证明材料的原件及复印件的真实性负责，若被查出提供虚假材料的，自愿接受有关处理，并承担法律责任；如已中标的，自动放弃中标资格；给</w:t>
      </w:r>
      <w:r>
        <w:rPr>
          <w:rFonts w:hint="eastAsia" w:ascii="宋体" w:hAnsi="宋体" w:cs="Times New Roman"/>
          <w:b/>
          <w:bCs/>
          <w:color w:val="auto"/>
          <w:sz w:val="24"/>
          <w:szCs w:val="24"/>
          <w:highlight w:val="none"/>
          <w:lang w:val="en-US" w:eastAsia="zh-CN"/>
        </w:rPr>
        <w:t>采购人</w:t>
      </w:r>
      <w:r>
        <w:rPr>
          <w:rFonts w:hint="eastAsia" w:ascii="宋体" w:hAnsi="宋体" w:eastAsia="宋体" w:cs="Times New Roman"/>
          <w:b/>
          <w:bCs/>
          <w:color w:val="auto"/>
          <w:sz w:val="24"/>
          <w:szCs w:val="24"/>
          <w:highlight w:val="none"/>
          <w:lang w:val="en-US" w:eastAsia="zh-CN"/>
        </w:rPr>
        <w:t>造成损失的，依法承担赔偿责任。</w:t>
      </w:r>
    </w:p>
    <w:p w14:paraId="3C4D25E0">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107" w:name="_Hlt26670360"/>
      <w:bookmarkEnd w:id="107"/>
      <w:bookmarkStart w:id="108" w:name="_Hlt26668975"/>
      <w:bookmarkEnd w:id="108"/>
      <w:bookmarkStart w:id="109" w:name="_Hlt26954838"/>
      <w:bookmarkEnd w:id="109"/>
      <w:bookmarkStart w:id="110" w:name="_Toc513029219"/>
      <w:bookmarkStart w:id="111" w:name="_Toc49090509"/>
      <w:bookmarkStart w:id="112" w:name="_Toc14577357"/>
      <w:bookmarkStart w:id="113" w:name="_Toc513029216"/>
      <w:bookmarkStart w:id="114" w:name="_Toc49090507"/>
      <w:bookmarkStart w:id="115" w:name="_Toc14577354"/>
      <w:bookmarkStart w:id="116" w:name="_Toc49090508"/>
      <w:bookmarkStart w:id="117" w:name="_Toc14577355"/>
      <w:r>
        <w:rPr>
          <w:rFonts w:hint="eastAsia" w:ascii="Arial" w:hAnsi="Arial" w:eastAsia="黑体" w:cs="Arial"/>
          <w:color w:val="auto"/>
          <w:sz w:val="24"/>
          <w:szCs w:val="24"/>
          <w:highlight w:val="none"/>
        </w:rPr>
        <w:t>1</w:t>
      </w:r>
      <w:r>
        <w:rPr>
          <w:rFonts w:hint="eastAsia" w:ascii="Arial" w:hAnsi="Arial" w:eastAsia="黑体" w:cs="Arial"/>
          <w:color w:val="auto"/>
          <w:sz w:val="24"/>
          <w:szCs w:val="24"/>
          <w:highlight w:val="none"/>
          <w:lang w:val="en-US" w:eastAsia="zh-CN"/>
        </w:rPr>
        <w:t>3</w:t>
      </w:r>
      <w:r>
        <w:rPr>
          <w:rFonts w:hint="eastAsia" w:ascii="Arial" w:hAnsi="Arial" w:eastAsia="黑体" w:cs="Arial"/>
          <w:color w:val="auto"/>
          <w:sz w:val="24"/>
          <w:szCs w:val="24"/>
          <w:highlight w:val="none"/>
        </w:rPr>
        <w:t>、证明磋商响应标的符合磋商文件规定的文件</w:t>
      </w:r>
      <w:bookmarkEnd w:id="110"/>
      <w:bookmarkEnd w:id="111"/>
      <w:bookmarkEnd w:id="112"/>
    </w:p>
    <w:bookmarkEnd w:id="113"/>
    <w:bookmarkEnd w:id="114"/>
    <w:bookmarkEnd w:id="115"/>
    <w:p w14:paraId="174257CF">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.1供应商应按照磋商文件要求提交证明文件，证明其及磋商响应标的符合磋商文件规定。</w:t>
      </w:r>
    </w:p>
    <w:p w14:paraId="63AA032F">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.2磋商文件对证明文件无明确形式要求的，证明文件可以以文字资料、图纸和数据等形式提交。</w:t>
      </w:r>
    </w:p>
    <w:p w14:paraId="7F35871E">
      <w:pPr>
        <w:pStyle w:val="3"/>
        <w:spacing w:line="360" w:lineRule="auto"/>
        <w:ind w:firstLine="480" w:firstLineChars="200"/>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13.3响应文件份数、签署和密封</w:t>
      </w:r>
    </w:p>
    <w:p w14:paraId="744B550D">
      <w:pPr>
        <w:pStyle w:val="3"/>
        <w:spacing w:line="360" w:lineRule="auto"/>
        <w:ind w:firstLine="562"/>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13.3.1本项目采用线上线下双轨制，即供应商投标响应文件除了从政府采购客户端工具制作通过“苏采云”系统提交外，还需提供与线上内容一致的纸质文件，如出现线上与线下内容不一致的，以线上电子文件为准。</w:t>
      </w:r>
    </w:p>
    <w:p w14:paraId="71AA1D48">
      <w:pPr>
        <w:pStyle w:val="3"/>
        <w:spacing w:line="360" w:lineRule="auto"/>
        <w:ind w:firstLine="562"/>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13.3.2电子响应文件要求</w:t>
      </w:r>
    </w:p>
    <w:p w14:paraId="33924F9D">
      <w:pPr>
        <w:pStyle w:val="3"/>
        <w:spacing w:line="360" w:lineRule="auto"/>
        <w:ind w:firstLine="562"/>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（1）供应商应当通过“苏采云”系统提交数据电文形式的投标响应文件（即电子投标）。供应商未按规定提交加密的投标响应文件，“苏采云”系统应当拒收并提示。</w:t>
      </w:r>
    </w:p>
    <w:p w14:paraId="3159975D">
      <w:pPr>
        <w:pStyle w:val="3"/>
        <w:spacing w:line="360" w:lineRule="auto"/>
        <w:ind w:firstLine="562"/>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（2）供应商应对CA证书妥善保管，如被他人盗用参与本次投标，因此带来的后果均由供应商自行承担。</w:t>
      </w:r>
    </w:p>
    <w:p w14:paraId="6BB1FFED">
      <w:pPr>
        <w:pStyle w:val="3"/>
        <w:spacing w:line="360" w:lineRule="auto"/>
        <w:ind w:firstLine="562"/>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（3）供应商应当对《</w:t>
      </w:r>
      <w:r>
        <w:rPr>
          <w:rFonts w:hint="eastAsia" w:ascii="宋体" w:hAnsi="宋体" w:cs="Times New Roman"/>
          <w:color w:val="auto"/>
          <w:sz w:val="24"/>
          <w:szCs w:val="24"/>
          <w:highlight w:val="none"/>
          <w:lang w:val="en-US" w:eastAsia="zh-CN" w:bidi="ar-SA"/>
        </w:rPr>
        <w:t>采购文件</w:t>
      </w:r>
      <w:r>
        <w:rPr>
          <w:rFonts w:hint="eastAsia" w:ascii="宋体" w:hAnsi="宋体" w:eastAsia="宋体" w:cs="Times New Roman"/>
          <w:color w:val="auto"/>
          <w:sz w:val="24"/>
          <w:szCs w:val="24"/>
          <w:highlight w:val="none"/>
          <w:lang w:val="en-US" w:eastAsia="zh-CN" w:bidi="ar-SA"/>
        </w:rPr>
        <w:t>》提出的要求和条件作出实质性响应，并在电子投标系统逐条应答。</w:t>
      </w:r>
    </w:p>
    <w:p w14:paraId="2D77F4D3">
      <w:pPr>
        <w:pStyle w:val="3"/>
        <w:spacing w:line="360" w:lineRule="auto"/>
        <w:ind w:firstLine="562"/>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（4）供应商应对要求提供的资格证明文件（如资质证书、资格证书）、技术资料（如白皮书、彩页、手册、检测报告等）扫描上传至投标系统。</w:t>
      </w:r>
    </w:p>
    <w:bookmarkEnd w:id="116"/>
    <w:bookmarkEnd w:id="117"/>
    <w:p w14:paraId="7F5FBD5B">
      <w:pPr>
        <w:keepNext/>
        <w:keepLines/>
        <w:spacing w:line="440" w:lineRule="exact"/>
        <w:ind w:firstLine="360" w:firstLineChars="150"/>
        <w:outlineLvl w:val="3"/>
        <w:rPr>
          <w:rFonts w:hint="eastAsia" w:ascii="Arial" w:hAnsi="Arial" w:eastAsia="黑体" w:cs="Arial"/>
          <w:color w:val="auto"/>
          <w:sz w:val="24"/>
          <w:szCs w:val="24"/>
          <w:highlight w:val="none"/>
        </w:rPr>
      </w:pPr>
      <w:r>
        <w:rPr>
          <w:rFonts w:hint="eastAsia" w:ascii="Arial" w:hAnsi="Arial" w:eastAsia="黑体" w:cs="Arial"/>
          <w:color w:val="auto"/>
          <w:sz w:val="24"/>
          <w:szCs w:val="24"/>
          <w:highlight w:val="none"/>
        </w:rPr>
        <w:t>1</w:t>
      </w:r>
      <w:r>
        <w:rPr>
          <w:rFonts w:hint="eastAsia" w:ascii="Arial" w:hAnsi="Arial" w:eastAsia="黑体" w:cs="Arial"/>
          <w:color w:val="auto"/>
          <w:sz w:val="24"/>
          <w:szCs w:val="24"/>
          <w:highlight w:val="none"/>
          <w:lang w:val="en-US" w:eastAsia="zh-CN"/>
        </w:rPr>
        <w:t>4</w:t>
      </w:r>
      <w:r>
        <w:rPr>
          <w:rFonts w:hint="eastAsia" w:ascii="Arial" w:hAnsi="Arial" w:eastAsia="黑体" w:cs="Arial"/>
          <w:color w:val="auto"/>
          <w:sz w:val="24"/>
          <w:szCs w:val="24"/>
          <w:highlight w:val="none"/>
        </w:rPr>
        <w:t>、分项报价表</w:t>
      </w:r>
    </w:p>
    <w:p w14:paraId="5E33068B">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.1</w:t>
      </w:r>
      <w:r>
        <w:rPr>
          <w:rFonts w:hint="eastAsia" w:ascii="宋体" w:hAnsi="宋体"/>
          <w:color w:val="auto"/>
          <w:sz w:val="24"/>
          <w:szCs w:val="24"/>
          <w:highlight w:val="none"/>
        </w:rPr>
        <w:t>供应商应按照磋商文件规定格式填报分项报价表。</w:t>
      </w:r>
    </w:p>
    <w:p w14:paraId="01A77F95">
      <w:pPr>
        <w:spacing w:line="44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w:t>
      </w:r>
      <w:r>
        <w:rPr>
          <w:rFonts w:hint="eastAsia" w:ascii="宋体" w:hAnsi="宋体"/>
          <w:bCs/>
          <w:color w:val="auto"/>
          <w:sz w:val="24"/>
          <w:szCs w:val="24"/>
          <w:highlight w:val="none"/>
        </w:rPr>
        <w:t>磋商货币。响应文件中的单价和总价无特殊规定的采用人民币报价，以元为单位标注。</w:t>
      </w:r>
      <w:r>
        <w:rPr>
          <w:rFonts w:hint="eastAsia" w:ascii="宋体" w:hAnsi="宋体"/>
          <w:color w:val="auto"/>
          <w:sz w:val="24"/>
          <w:szCs w:val="24"/>
          <w:highlight w:val="none"/>
        </w:rPr>
        <w:t>磋商文件中另有规定的按规定执行。</w:t>
      </w:r>
    </w:p>
    <w:p w14:paraId="6CBDB78D">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118" w:name="_Hlt26954848"/>
      <w:bookmarkEnd w:id="118"/>
      <w:bookmarkStart w:id="119" w:name="_Hlt26670482"/>
      <w:bookmarkEnd w:id="119"/>
      <w:bookmarkStart w:id="120" w:name="_Hlt26954846"/>
      <w:bookmarkEnd w:id="120"/>
      <w:bookmarkStart w:id="121" w:name="_Hlt26954731"/>
      <w:bookmarkEnd w:id="121"/>
      <w:bookmarkStart w:id="122" w:name="_Hlt26670486"/>
      <w:bookmarkEnd w:id="122"/>
      <w:r>
        <w:rPr>
          <w:rFonts w:hint="eastAsia" w:ascii="Arial" w:hAnsi="Arial" w:eastAsia="黑体" w:cs="Arial"/>
          <w:color w:val="auto"/>
          <w:sz w:val="24"/>
          <w:szCs w:val="24"/>
          <w:highlight w:val="none"/>
        </w:rPr>
        <w:t>1</w:t>
      </w:r>
      <w:r>
        <w:rPr>
          <w:rFonts w:hint="eastAsia" w:ascii="Arial" w:hAnsi="Arial" w:eastAsia="黑体" w:cs="Arial"/>
          <w:color w:val="auto"/>
          <w:sz w:val="24"/>
          <w:szCs w:val="24"/>
          <w:highlight w:val="none"/>
          <w:lang w:val="en-US" w:eastAsia="zh-CN"/>
        </w:rPr>
        <w:t>5</w:t>
      </w:r>
      <w:r>
        <w:rPr>
          <w:rFonts w:hint="eastAsia" w:ascii="Arial" w:hAnsi="Arial" w:eastAsia="黑体" w:cs="Arial"/>
          <w:color w:val="auto"/>
          <w:sz w:val="24"/>
          <w:szCs w:val="24"/>
          <w:highlight w:val="none"/>
        </w:rPr>
        <w:t>、技术要求响应及偏离表、商务要求响应及偏离表</w:t>
      </w:r>
    </w:p>
    <w:p w14:paraId="1F64F05C">
      <w:pPr>
        <w:autoSpaceDE w:val="0"/>
        <w:autoSpaceDN w:val="0"/>
        <w:adjustRightInd w:val="0"/>
        <w:spacing w:line="440" w:lineRule="exact"/>
        <w:ind w:firstLine="480"/>
        <w:rPr>
          <w:rFonts w:hint="eastAsia" w:ascii="宋体" w:hAnsi="Arial" w:cs="宋体"/>
          <w:color w:val="auto"/>
          <w:sz w:val="24"/>
          <w:szCs w:val="24"/>
          <w:highlight w:val="none"/>
          <w:lang w:val="zh-CN"/>
        </w:rPr>
      </w:pPr>
      <w:r>
        <w:rPr>
          <w:rFonts w:ascii="宋体" w:hAnsi="Arial" w:cs="宋体"/>
          <w:bCs/>
          <w:color w:val="auto"/>
          <w:sz w:val="24"/>
          <w:szCs w:val="24"/>
          <w:highlight w:val="none"/>
          <w:lang w:val="zh-CN"/>
        </w:rPr>
        <w:t>1</w:t>
      </w:r>
      <w:r>
        <w:rPr>
          <w:rFonts w:hint="eastAsia" w:ascii="宋体" w:hAnsi="Arial" w:cs="宋体"/>
          <w:bCs/>
          <w:color w:val="auto"/>
          <w:sz w:val="24"/>
          <w:szCs w:val="24"/>
          <w:highlight w:val="none"/>
          <w:lang w:val="en-US" w:eastAsia="zh-CN"/>
        </w:rPr>
        <w:t>5</w:t>
      </w:r>
      <w:r>
        <w:rPr>
          <w:rFonts w:ascii="宋体" w:hAnsi="Arial" w:cs="宋体"/>
          <w:bCs/>
          <w:color w:val="auto"/>
          <w:sz w:val="24"/>
          <w:szCs w:val="24"/>
          <w:highlight w:val="none"/>
          <w:lang w:val="zh-CN"/>
        </w:rPr>
        <w:t>.1</w:t>
      </w:r>
      <w:r>
        <w:rPr>
          <w:rFonts w:hint="eastAsia" w:ascii="宋体" w:hAnsi="Arial" w:cs="宋体"/>
          <w:color w:val="auto"/>
          <w:sz w:val="24"/>
          <w:szCs w:val="24"/>
          <w:highlight w:val="none"/>
          <w:lang w:val="zh-CN"/>
        </w:rPr>
        <w:t>供应商需对磋商文件中的技术要求与商务要求逐项作出响应或偏离，并说明原因。</w:t>
      </w:r>
    </w:p>
    <w:p w14:paraId="239F6C0A">
      <w:pPr>
        <w:autoSpaceDE w:val="0"/>
        <w:autoSpaceDN w:val="0"/>
        <w:adjustRightInd w:val="0"/>
        <w:spacing w:line="440" w:lineRule="exact"/>
        <w:ind w:firstLine="480"/>
        <w:rPr>
          <w:rFonts w:hint="eastAsia" w:ascii="宋体" w:hAnsi="Arial" w:cs="宋体"/>
          <w:color w:val="auto"/>
          <w:sz w:val="24"/>
          <w:szCs w:val="24"/>
          <w:highlight w:val="none"/>
          <w:lang w:val="zh-CN"/>
        </w:rPr>
      </w:pPr>
      <w:r>
        <w:rPr>
          <w:rFonts w:hint="eastAsia" w:ascii="宋体" w:hAnsi="Arial" w:cs="宋体"/>
          <w:color w:val="auto"/>
          <w:sz w:val="24"/>
          <w:szCs w:val="24"/>
          <w:highlight w:val="none"/>
          <w:lang w:val="zh-CN"/>
        </w:rPr>
        <w:t>1</w:t>
      </w:r>
      <w:r>
        <w:rPr>
          <w:rFonts w:hint="eastAsia" w:ascii="宋体" w:hAnsi="Arial" w:cs="宋体"/>
          <w:color w:val="auto"/>
          <w:sz w:val="24"/>
          <w:szCs w:val="24"/>
          <w:highlight w:val="none"/>
          <w:lang w:val="en-US" w:eastAsia="zh-CN"/>
        </w:rPr>
        <w:t>5</w:t>
      </w:r>
      <w:r>
        <w:rPr>
          <w:rFonts w:hint="eastAsia" w:ascii="宋体" w:hAnsi="Arial" w:cs="宋体"/>
          <w:color w:val="auto"/>
          <w:sz w:val="24"/>
          <w:szCs w:val="24"/>
          <w:highlight w:val="none"/>
          <w:lang w:val="zh-CN"/>
        </w:rPr>
        <w:t>.2供应商可在响应文件中提供认为需要的其他技术文件或说明。</w:t>
      </w:r>
    </w:p>
    <w:p w14:paraId="24FD2458">
      <w:pPr>
        <w:keepNext/>
        <w:keepLines/>
        <w:spacing w:line="440" w:lineRule="exact"/>
        <w:ind w:firstLine="360" w:firstLineChars="150"/>
        <w:outlineLvl w:val="3"/>
        <w:rPr>
          <w:rFonts w:hint="eastAsia" w:ascii="Arial" w:hAnsi="Arial" w:eastAsia="黑体" w:cs="Arial"/>
          <w:color w:val="auto"/>
          <w:sz w:val="24"/>
          <w:szCs w:val="24"/>
          <w:highlight w:val="none"/>
        </w:rPr>
      </w:pPr>
      <w:r>
        <w:rPr>
          <w:rFonts w:hint="eastAsia" w:ascii="Arial" w:hAnsi="Arial" w:eastAsia="黑体" w:cs="Arial"/>
          <w:color w:val="auto"/>
          <w:sz w:val="24"/>
          <w:szCs w:val="24"/>
          <w:highlight w:val="none"/>
        </w:rPr>
        <w:t>1</w:t>
      </w:r>
      <w:r>
        <w:rPr>
          <w:rFonts w:hint="eastAsia" w:ascii="Arial" w:hAnsi="Arial" w:eastAsia="黑体" w:cs="Arial"/>
          <w:color w:val="auto"/>
          <w:sz w:val="24"/>
          <w:szCs w:val="24"/>
          <w:highlight w:val="none"/>
          <w:lang w:val="en-US" w:eastAsia="zh-CN"/>
        </w:rPr>
        <w:t>6</w:t>
      </w:r>
      <w:r>
        <w:rPr>
          <w:rFonts w:hint="eastAsia" w:ascii="Arial" w:hAnsi="Arial" w:eastAsia="黑体" w:cs="Arial"/>
          <w:color w:val="auto"/>
          <w:sz w:val="24"/>
          <w:szCs w:val="24"/>
          <w:highlight w:val="none"/>
        </w:rPr>
        <w:t>、服务承诺、培训计划、人员安排及其他</w:t>
      </w:r>
    </w:p>
    <w:p w14:paraId="51F510AF">
      <w:pPr>
        <w:spacing w:line="440" w:lineRule="exact"/>
        <w:ind w:firstLine="480"/>
        <w:rPr>
          <w:rFonts w:hint="eastAsia"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.1</w:t>
      </w:r>
      <w:r>
        <w:rPr>
          <w:rFonts w:hint="eastAsia" w:ascii="宋体" w:hAnsi="宋体"/>
          <w:color w:val="auto"/>
          <w:sz w:val="24"/>
          <w:szCs w:val="24"/>
          <w:highlight w:val="none"/>
        </w:rPr>
        <w:t>供应商需根据磋商文件要求提供有关售后服务的管理制度，售后服务机构的分布情况，售后服务人员的数量、素质、技术水平及售后服务的反应能力等。</w:t>
      </w:r>
    </w:p>
    <w:p w14:paraId="29BE79F2">
      <w:p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.2供应商需根据磋商文件要求提供培训计划。</w:t>
      </w:r>
    </w:p>
    <w:p w14:paraId="5891B07A">
      <w:p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.3供应商需根据磋商文件要求提供</w:t>
      </w:r>
      <w:r>
        <w:rPr>
          <w:rFonts w:hint="eastAsia" w:ascii="宋体" w:hAnsi="Arial" w:cs="宋体"/>
          <w:color w:val="auto"/>
          <w:sz w:val="24"/>
          <w:szCs w:val="24"/>
          <w:highlight w:val="none"/>
          <w:lang w:val="zh-CN"/>
        </w:rPr>
        <w:t>磋商响应标的的主要组成部分、功能设计、实现思路及关键技术等。</w:t>
      </w:r>
    </w:p>
    <w:p w14:paraId="002E7084">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123" w:name="_Toc14577359"/>
      <w:bookmarkStart w:id="124" w:name="_Toc49090510"/>
      <w:r>
        <w:rPr>
          <w:rFonts w:hint="eastAsia" w:ascii="Arial" w:hAnsi="Arial" w:eastAsia="黑体" w:cs="Arial"/>
          <w:color w:val="auto"/>
          <w:sz w:val="24"/>
          <w:szCs w:val="24"/>
          <w:highlight w:val="none"/>
        </w:rPr>
        <w:t>1</w:t>
      </w:r>
      <w:r>
        <w:rPr>
          <w:rFonts w:hint="eastAsia" w:ascii="Arial" w:hAnsi="Arial" w:eastAsia="黑体" w:cs="Arial"/>
          <w:color w:val="auto"/>
          <w:sz w:val="24"/>
          <w:szCs w:val="24"/>
          <w:highlight w:val="none"/>
          <w:lang w:val="en-US" w:eastAsia="zh-CN"/>
        </w:rPr>
        <w:t>7</w:t>
      </w:r>
      <w:r>
        <w:rPr>
          <w:rFonts w:hint="eastAsia" w:ascii="Arial" w:hAnsi="Arial" w:eastAsia="黑体" w:cs="Arial"/>
          <w:color w:val="auto"/>
          <w:sz w:val="24"/>
          <w:szCs w:val="24"/>
          <w:highlight w:val="none"/>
        </w:rPr>
        <w:t>、磋商响应函</w:t>
      </w:r>
    </w:p>
    <w:p w14:paraId="5DD1B52D">
      <w:pPr>
        <w:spacing w:line="44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.1</w:t>
      </w:r>
      <w:r>
        <w:rPr>
          <w:rFonts w:hint="eastAsia" w:ascii="宋体" w:hAnsi="宋体"/>
          <w:color w:val="auto"/>
          <w:sz w:val="24"/>
          <w:szCs w:val="24"/>
          <w:highlight w:val="none"/>
        </w:rPr>
        <w:t>供应商应按照磋商文件中提供的格式完整、正确填写磋商响应函。</w:t>
      </w:r>
    </w:p>
    <w:bookmarkEnd w:id="123"/>
    <w:bookmarkEnd w:id="124"/>
    <w:p w14:paraId="470D3EA3">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125" w:name="_Toc14577360"/>
      <w:bookmarkStart w:id="126" w:name="_Toc49090511"/>
      <w:r>
        <w:rPr>
          <w:rFonts w:hint="eastAsia" w:ascii="Arial" w:hAnsi="Arial" w:eastAsia="黑体" w:cs="Arial"/>
          <w:color w:val="auto"/>
          <w:sz w:val="24"/>
          <w:szCs w:val="24"/>
          <w:highlight w:val="none"/>
        </w:rPr>
        <w:t>1</w:t>
      </w:r>
      <w:r>
        <w:rPr>
          <w:rFonts w:hint="eastAsia" w:ascii="Arial" w:hAnsi="Arial" w:eastAsia="黑体" w:cs="Arial"/>
          <w:color w:val="auto"/>
          <w:sz w:val="24"/>
          <w:szCs w:val="24"/>
          <w:highlight w:val="none"/>
          <w:lang w:val="en-US" w:eastAsia="zh-CN"/>
        </w:rPr>
        <w:t>8</w:t>
      </w:r>
      <w:r>
        <w:rPr>
          <w:rFonts w:hint="eastAsia" w:ascii="Arial" w:hAnsi="Arial" w:eastAsia="黑体" w:cs="Arial"/>
          <w:color w:val="auto"/>
          <w:sz w:val="24"/>
          <w:szCs w:val="24"/>
          <w:highlight w:val="none"/>
        </w:rPr>
        <w:t>、磋商有效期</w:t>
      </w:r>
      <w:bookmarkEnd w:id="125"/>
      <w:bookmarkEnd w:id="126"/>
    </w:p>
    <w:p w14:paraId="4252E7DD">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.1磋商有效期为</w:t>
      </w:r>
      <w:r>
        <w:rPr>
          <w:rFonts w:hint="eastAsia" w:ascii="宋体" w:hAnsi="宋体"/>
          <w:color w:val="auto"/>
          <w:sz w:val="24"/>
          <w:szCs w:val="24"/>
          <w:highlight w:val="none"/>
        </w:rPr>
        <w:t>磋商文件</w:t>
      </w:r>
      <w:r>
        <w:rPr>
          <w:rFonts w:hint="eastAsia" w:ascii="宋体" w:hAnsi="宋体"/>
          <w:bCs/>
          <w:color w:val="auto"/>
          <w:sz w:val="24"/>
          <w:szCs w:val="24"/>
          <w:highlight w:val="none"/>
        </w:rPr>
        <w:t>规定的提交响应文件截止之日后</w:t>
      </w:r>
      <w:r>
        <w:rPr>
          <w:rFonts w:hint="eastAsia" w:ascii="仿宋_GB2312" w:hAnsi="仿宋_GB2312"/>
          <w:bCs/>
          <w:color w:val="auto"/>
          <w:sz w:val="24"/>
          <w:szCs w:val="24"/>
          <w:highlight w:val="none"/>
        </w:rPr>
        <w:t>六十（60）天</w:t>
      </w:r>
      <w:r>
        <w:rPr>
          <w:rFonts w:hint="eastAsia" w:ascii="宋体" w:hAnsi="宋体"/>
          <w:bCs/>
          <w:color w:val="auto"/>
          <w:sz w:val="24"/>
          <w:szCs w:val="24"/>
          <w:highlight w:val="none"/>
        </w:rPr>
        <w:t>。磋商有效期比规定短的将被视为非实质性响应磋商文件而予以拒绝。</w:t>
      </w:r>
    </w:p>
    <w:p w14:paraId="1EB53DC2">
      <w:pPr>
        <w:keepNext/>
        <w:keepLines/>
        <w:spacing w:line="440" w:lineRule="exact"/>
        <w:ind w:firstLine="360" w:firstLineChars="150"/>
        <w:outlineLvl w:val="3"/>
        <w:rPr>
          <w:rFonts w:hint="eastAsia" w:ascii="Arial" w:hAnsi="Arial" w:eastAsia="黑体" w:cs="Arial"/>
          <w:color w:val="auto"/>
          <w:sz w:val="24"/>
          <w:szCs w:val="24"/>
          <w:highlight w:val="none"/>
        </w:rPr>
      </w:pPr>
      <w:r>
        <w:rPr>
          <w:rFonts w:hint="eastAsia" w:ascii="Arial" w:hAnsi="Arial" w:eastAsia="黑体" w:cs="Arial"/>
          <w:color w:val="auto"/>
          <w:sz w:val="24"/>
          <w:szCs w:val="24"/>
          <w:highlight w:val="none"/>
        </w:rPr>
        <w:t>1</w:t>
      </w:r>
      <w:r>
        <w:rPr>
          <w:rFonts w:hint="eastAsia" w:ascii="Arial" w:hAnsi="Arial" w:eastAsia="黑体" w:cs="Arial"/>
          <w:color w:val="auto"/>
          <w:sz w:val="24"/>
          <w:szCs w:val="24"/>
          <w:highlight w:val="none"/>
          <w:lang w:val="en-US" w:eastAsia="zh-CN"/>
        </w:rPr>
        <w:t>9</w:t>
      </w:r>
      <w:r>
        <w:rPr>
          <w:rFonts w:hint="eastAsia" w:ascii="Arial" w:hAnsi="Arial" w:eastAsia="黑体" w:cs="Arial"/>
          <w:color w:val="auto"/>
          <w:sz w:val="24"/>
          <w:szCs w:val="24"/>
          <w:highlight w:val="none"/>
        </w:rPr>
        <w:t>、磋商有效期的延长</w:t>
      </w:r>
    </w:p>
    <w:p w14:paraId="183DB6D2">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.1在特殊情况下，</w:t>
      </w:r>
      <w:r>
        <w:rPr>
          <w:rFonts w:hint="eastAsia" w:ascii="宋体" w:hAnsi="宋体"/>
          <w:color w:val="auto"/>
          <w:sz w:val="24"/>
          <w:szCs w:val="24"/>
          <w:highlight w:val="none"/>
        </w:rPr>
        <w:t>采购人或采购代理机构</w:t>
      </w:r>
      <w:r>
        <w:rPr>
          <w:rFonts w:hint="eastAsia" w:ascii="宋体" w:hAnsi="宋体"/>
          <w:bCs/>
          <w:color w:val="auto"/>
          <w:sz w:val="24"/>
          <w:szCs w:val="24"/>
          <w:highlight w:val="none"/>
        </w:rPr>
        <w:t>于原磋商有效期满之前，可向供应商提出延长磋商有效期的要求。这种要求与答复均应采用书面形式。供应商可以拒绝</w:t>
      </w:r>
      <w:r>
        <w:rPr>
          <w:rFonts w:hint="eastAsia" w:ascii="宋体" w:hAnsi="宋体"/>
          <w:color w:val="auto"/>
          <w:sz w:val="24"/>
          <w:szCs w:val="24"/>
          <w:highlight w:val="none"/>
        </w:rPr>
        <w:t>采购人或采购代理机构</w:t>
      </w:r>
      <w:r>
        <w:rPr>
          <w:rFonts w:hint="eastAsia" w:ascii="宋体" w:hAnsi="宋体"/>
          <w:bCs/>
          <w:color w:val="auto"/>
          <w:sz w:val="24"/>
          <w:szCs w:val="24"/>
          <w:highlight w:val="none"/>
        </w:rPr>
        <w:t>的这一要求而放弃磋商，同意延长磋商有效期的供应商既不能要求也不允许修改其响应文件。</w:t>
      </w:r>
      <w:r>
        <w:rPr>
          <w:rFonts w:hint="eastAsia" w:ascii="宋体" w:hAnsi="宋体"/>
          <w:color w:val="auto"/>
          <w:sz w:val="24"/>
          <w:szCs w:val="24"/>
          <w:highlight w:val="none"/>
        </w:rPr>
        <w:t>受磋商有效期约束的所有权利与义务均延长至新的有效期</w:t>
      </w:r>
      <w:r>
        <w:rPr>
          <w:rFonts w:hint="eastAsia" w:ascii="宋体" w:hAnsi="宋体"/>
          <w:bCs/>
          <w:color w:val="auto"/>
          <w:sz w:val="24"/>
          <w:szCs w:val="24"/>
          <w:highlight w:val="none"/>
        </w:rPr>
        <w:t>。</w:t>
      </w:r>
    </w:p>
    <w:p w14:paraId="40AB44F2">
      <w:pPr>
        <w:keepNext/>
        <w:keepLines/>
        <w:spacing w:before="145" w:beforeLines="50" w:after="145" w:afterLines="50" w:line="440" w:lineRule="exact"/>
        <w:ind w:firstLine="373" w:firstLineChars="155"/>
        <w:outlineLvl w:val="2"/>
        <w:rPr>
          <w:rFonts w:hint="eastAsia" w:ascii="Times New Roman" w:hAnsi="Times New Roman"/>
          <w:b/>
          <w:bCs/>
          <w:color w:val="auto"/>
          <w:sz w:val="24"/>
          <w:szCs w:val="24"/>
          <w:highlight w:val="none"/>
        </w:rPr>
      </w:pPr>
      <w:bookmarkStart w:id="127" w:name="_Hlt26954739"/>
      <w:bookmarkEnd w:id="127"/>
      <w:bookmarkStart w:id="128" w:name="_Hlt26954852"/>
      <w:bookmarkEnd w:id="128"/>
      <w:bookmarkStart w:id="129" w:name="_Toc120614217"/>
      <w:bookmarkStart w:id="130" w:name="_Toc20823296"/>
      <w:bookmarkStart w:id="131" w:name="_Toc16938540"/>
      <w:bookmarkStart w:id="132" w:name="_Toc513029224"/>
      <w:r>
        <w:rPr>
          <w:rFonts w:hint="eastAsia" w:ascii="Times New Roman" w:hAnsi="Times New Roman"/>
          <w:b/>
          <w:bCs/>
          <w:color w:val="auto"/>
          <w:sz w:val="24"/>
          <w:szCs w:val="24"/>
          <w:highlight w:val="none"/>
        </w:rPr>
        <w:t>四、响应文件的递交</w:t>
      </w:r>
      <w:bookmarkEnd w:id="129"/>
      <w:bookmarkEnd w:id="130"/>
      <w:bookmarkEnd w:id="131"/>
      <w:bookmarkEnd w:id="132"/>
    </w:p>
    <w:p w14:paraId="034026D8">
      <w:pPr>
        <w:keepNext/>
        <w:keepLines/>
        <w:spacing w:line="440" w:lineRule="exact"/>
        <w:ind w:firstLine="480" w:firstLineChars="200"/>
        <w:outlineLvl w:val="3"/>
        <w:rPr>
          <w:rFonts w:hint="eastAsia" w:ascii="黑体" w:hAnsi="Arial" w:eastAsia="黑体" w:cs="Arial"/>
          <w:color w:val="auto"/>
          <w:sz w:val="24"/>
          <w:szCs w:val="24"/>
          <w:highlight w:val="none"/>
        </w:rPr>
      </w:pPr>
      <w:bookmarkStart w:id="133" w:name="_Toc513029225"/>
      <w:bookmarkStart w:id="134" w:name="_Toc20823297"/>
      <w:bookmarkStart w:id="135" w:name="_Toc462564084"/>
      <w:bookmarkStart w:id="136" w:name="_Toc16938541"/>
      <w:r>
        <w:rPr>
          <w:rFonts w:hint="eastAsia" w:ascii="Arial" w:hAnsi="Arial" w:eastAsia="黑体" w:cs="Arial"/>
          <w:color w:val="auto"/>
          <w:sz w:val="24"/>
          <w:szCs w:val="24"/>
          <w:highlight w:val="none"/>
          <w:lang w:val="en-US" w:eastAsia="zh-CN"/>
        </w:rPr>
        <w:t>20</w:t>
      </w:r>
      <w:r>
        <w:rPr>
          <w:rFonts w:hint="eastAsia" w:ascii="Arial" w:hAnsi="Arial" w:eastAsia="黑体" w:cs="Arial"/>
          <w:color w:val="auto"/>
          <w:sz w:val="24"/>
          <w:szCs w:val="24"/>
          <w:highlight w:val="none"/>
        </w:rPr>
        <w:t>、电子</w:t>
      </w:r>
      <w:r>
        <w:rPr>
          <w:rFonts w:hint="eastAsia" w:ascii="黑体" w:hAnsi="Arial" w:eastAsia="黑体" w:cs="Arial"/>
          <w:color w:val="auto"/>
          <w:sz w:val="24"/>
          <w:szCs w:val="24"/>
          <w:highlight w:val="none"/>
        </w:rPr>
        <w:t>磋商</w:t>
      </w:r>
      <w:bookmarkEnd w:id="133"/>
      <w:bookmarkEnd w:id="134"/>
      <w:bookmarkEnd w:id="135"/>
      <w:bookmarkEnd w:id="136"/>
      <w:r>
        <w:rPr>
          <w:rFonts w:hint="eastAsia" w:ascii="黑体" w:hAnsi="Arial" w:eastAsia="黑体" w:cs="Arial"/>
          <w:color w:val="auto"/>
          <w:sz w:val="24"/>
          <w:szCs w:val="24"/>
          <w:highlight w:val="none"/>
        </w:rPr>
        <w:t>响应文件的递交</w:t>
      </w:r>
    </w:p>
    <w:p w14:paraId="65131890">
      <w:pPr>
        <w:spacing w:line="440" w:lineRule="exact"/>
        <w:ind w:firstLine="600" w:firstLineChars="25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.1供应商应当按照《操作手册》规定，在提交响应文件截止时间前</w:t>
      </w:r>
      <w:r>
        <w:rPr>
          <w:rFonts w:ascii="宋体" w:hAnsi="宋体"/>
          <w:bCs/>
          <w:color w:val="auto"/>
          <w:sz w:val="24"/>
          <w:szCs w:val="24"/>
          <w:highlight w:val="none"/>
        </w:rPr>
        <w:t>制作</w:t>
      </w:r>
      <w:r>
        <w:rPr>
          <w:rFonts w:hint="eastAsia" w:ascii="宋体" w:hAnsi="宋体"/>
          <w:bCs/>
          <w:color w:val="auto"/>
          <w:sz w:val="24"/>
          <w:szCs w:val="24"/>
          <w:highlight w:val="none"/>
        </w:rPr>
        <w:t>并上传电子响应文件。</w:t>
      </w:r>
      <w:bookmarkStart w:id="137" w:name="_Toc20823298"/>
      <w:bookmarkStart w:id="138" w:name="_Toc16938542"/>
      <w:bookmarkStart w:id="139" w:name="_Toc513029226"/>
    </w:p>
    <w:p w14:paraId="35D187B0">
      <w:pPr>
        <w:keepNext/>
        <w:keepLines/>
        <w:spacing w:line="440" w:lineRule="exact"/>
        <w:ind w:firstLine="480" w:firstLineChars="200"/>
        <w:outlineLvl w:val="3"/>
        <w:rPr>
          <w:rFonts w:hint="eastAsia" w:ascii="宋体" w:hAnsi="宋体" w:eastAsia="黑体" w:cs="Arial"/>
          <w:bCs/>
          <w:color w:val="auto"/>
          <w:sz w:val="24"/>
          <w:szCs w:val="24"/>
          <w:highlight w:val="none"/>
        </w:rPr>
      </w:pPr>
      <w:r>
        <w:rPr>
          <w:rFonts w:hint="eastAsia" w:ascii="Arial" w:hAnsi="Arial" w:eastAsia="黑体" w:cs="Arial"/>
          <w:bCs/>
          <w:color w:val="auto"/>
          <w:sz w:val="24"/>
          <w:szCs w:val="24"/>
          <w:highlight w:val="none"/>
          <w:lang w:val="en-US" w:eastAsia="zh-CN"/>
        </w:rPr>
        <w:t>21</w:t>
      </w:r>
      <w:r>
        <w:rPr>
          <w:rFonts w:hint="eastAsia" w:ascii="Arial" w:hAnsi="Arial" w:eastAsia="黑体" w:cs="Arial"/>
          <w:bCs/>
          <w:color w:val="auto"/>
          <w:sz w:val="24"/>
          <w:szCs w:val="24"/>
          <w:highlight w:val="none"/>
        </w:rPr>
        <w:t>、提交响应文件截止时间</w:t>
      </w:r>
      <w:bookmarkEnd w:id="137"/>
      <w:bookmarkEnd w:id="138"/>
      <w:bookmarkEnd w:id="139"/>
    </w:p>
    <w:p w14:paraId="37B4F42F">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bCs/>
          <w:i/>
          <w:color w:val="auto"/>
          <w:sz w:val="24"/>
          <w:szCs w:val="24"/>
          <w:highlight w:val="none"/>
          <w:u w:val="single"/>
          <w:lang w:val="en-US" w:eastAsia="zh-CN"/>
        </w:rPr>
        <w:t>21</w:t>
      </w:r>
      <w:r>
        <w:rPr>
          <w:rFonts w:hint="eastAsia" w:ascii="宋体" w:hAnsi="宋体" w:eastAsia="宋体" w:cs="Times New Roman"/>
          <w:bCs/>
          <w:i/>
          <w:color w:val="auto"/>
          <w:sz w:val="24"/>
          <w:szCs w:val="24"/>
          <w:highlight w:val="none"/>
          <w:u w:val="single"/>
        </w:rPr>
        <w:t>.1</w:t>
      </w:r>
      <w:r>
        <w:rPr>
          <w:rFonts w:hint="eastAsia" w:ascii="宋体" w:hAnsi="宋体" w:eastAsia="宋体" w:cs="Times New Roman"/>
          <w:bCs/>
          <w:i/>
          <w:color w:val="auto"/>
          <w:sz w:val="24"/>
          <w:szCs w:val="24"/>
          <w:highlight w:val="none"/>
          <w:u w:val="single"/>
          <w:lang w:val="en-US" w:eastAsia="zh-CN"/>
        </w:rPr>
        <w:t xml:space="preserve"> </w:t>
      </w:r>
      <w:r>
        <w:rPr>
          <w:rFonts w:hint="eastAsia" w:ascii="宋体" w:hAnsi="宋体" w:eastAsia="宋体" w:cs="Times New Roman"/>
          <w:bCs/>
          <w:i/>
          <w:color w:val="auto"/>
          <w:sz w:val="24"/>
          <w:szCs w:val="24"/>
          <w:highlight w:val="none"/>
          <w:u w:val="single"/>
        </w:rPr>
        <w:t>供应商上传电子响应文件的时间不得迟于磋商公告中规定的提交响应文件截止时间。</w:t>
      </w:r>
    </w:p>
    <w:p w14:paraId="1A295421">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供应商应充分考虑到网络环境、网络带宽等风险因素，如因供应商自身原因造成的电子响应文件上传不成功的按照本磋商文件第二章第</w:t>
      </w:r>
      <w:r>
        <w:rPr>
          <w:rFonts w:hint="eastAsia" w:ascii="宋体" w:hAnsi="宋体"/>
          <w:bCs/>
          <w:color w:val="auto"/>
          <w:sz w:val="24"/>
          <w:szCs w:val="24"/>
          <w:highlight w:val="none"/>
          <w:lang w:eastAsia="zh-CN"/>
        </w:rPr>
        <w:t>28.3.</w:t>
      </w:r>
      <w:r>
        <w:rPr>
          <w:rFonts w:hint="eastAsia" w:ascii="宋体" w:hAnsi="宋体"/>
          <w:bCs/>
          <w:color w:val="auto"/>
          <w:sz w:val="24"/>
          <w:szCs w:val="24"/>
          <w:highlight w:val="none"/>
        </w:rPr>
        <w:t>2条规定做无效响应处理。</w:t>
      </w:r>
    </w:p>
    <w:p w14:paraId="22D68ECD">
      <w:pPr>
        <w:spacing w:line="44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.2</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采购人或采购代理机构</w:t>
      </w:r>
      <w:r>
        <w:rPr>
          <w:rFonts w:hint="eastAsia" w:ascii="宋体" w:hAnsi="宋体"/>
          <w:bCs/>
          <w:color w:val="auto"/>
          <w:sz w:val="24"/>
          <w:szCs w:val="24"/>
          <w:highlight w:val="none"/>
        </w:rPr>
        <w:t>可以按照规定，通过修改磋商文件酌情延长提交响应文件截止日期，在此情况下，供应商的所有权利和义务以及供应商受制的截止日期均应以延长后新的截止日期为准。</w:t>
      </w:r>
    </w:p>
    <w:p w14:paraId="7682289B">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140" w:name="_Toc513029227"/>
      <w:bookmarkStart w:id="141" w:name="_Toc20823299"/>
      <w:bookmarkStart w:id="142" w:name="_Toc16938543"/>
      <w:r>
        <w:rPr>
          <w:rFonts w:hint="eastAsia" w:ascii="Arial" w:hAnsi="Arial" w:eastAsia="黑体" w:cs="Arial"/>
          <w:color w:val="auto"/>
          <w:sz w:val="24"/>
          <w:szCs w:val="24"/>
          <w:highlight w:val="none"/>
        </w:rPr>
        <w:t>2</w:t>
      </w:r>
      <w:r>
        <w:rPr>
          <w:rFonts w:hint="eastAsia" w:ascii="Arial" w:hAnsi="Arial" w:eastAsia="黑体" w:cs="Arial"/>
          <w:color w:val="auto"/>
          <w:sz w:val="24"/>
          <w:szCs w:val="24"/>
          <w:highlight w:val="none"/>
          <w:lang w:val="en-US" w:eastAsia="zh-CN"/>
        </w:rPr>
        <w:t>2</w:t>
      </w:r>
      <w:r>
        <w:rPr>
          <w:rFonts w:hint="eastAsia" w:ascii="Arial" w:hAnsi="Arial" w:eastAsia="黑体" w:cs="Arial"/>
          <w:color w:val="auto"/>
          <w:sz w:val="24"/>
          <w:szCs w:val="24"/>
          <w:highlight w:val="none"/>
        </w:rPr>
        <w:t>、响应文件</w:t>
      </w:r>
      <w:bookmarkEnd w:id="140"/>
      <w:bookmarkEnd w:id="141"/>
      <w:bookmarkEnd w:id="142"/>
      <w:r>
        <w:rPr>
          <w:rFonts w:hint="eastAsia" w:ascii="Arial" w:hAnsi="Arial" w:eastAsia="黑体" w:cs="Arial"/>
          <w:color w:val="auto"/>
          <w:sz w:val="24"/>
          <w:szCs w:val="24"/>
          <w:highlight w:val="none"/>
        </w:rPr>
        <w:t>的拒收</w:t>
      </w:r>
    </w:p>
    <w:p w14:paraId="5755F950">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 xml:space="preserve">.1 </w:t>
      </w:r>
      <w:r>
        <w:rPr>
          <w:rFonts w:hint="eastAsia" w:ascii="宋体" w:hAnsi="宋体"/>
          <w:color w:val="auto"/>
          <w:sz w:val="24"/>
          <w:szCs w:val="24"/>
          <w:highlight w:val="none"/>
        </w:rPr>
        <w:t>采购人或采购代理机构</w:t>
      </w:r>
      <w:r>
        <w:rPr>
          <w:rFonts w:hint="eastAsia" w:ascii="宋体" w:hAnsi="宋体"/>
          <w:bCs/>
          <w:color w:val="auto"/>
          <w:sz w:val="24"/>
          <w:szCs w:val="24"/>
          <w:highlight w:val="none"/>
        </w:rPr>
        <w:t>拒绝接收在其规定的提交响应文件截止时间后上传的任何电子响应文件。</w:t>
      </w:r>
    </w:p>
    <w:p w14:paraId="6B539995">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143" w:name="_Toc20823300"/>
      <w:bookmarkStart w:id="144" w:name="_Toc513029228"/>
      <w:bookmarkStart w:id="145" w:name="_Toc16938544"/>
      <w:r>
        <w:rPr>
          <w:rFonts w:hint="eastAsia" w:ascii="Arial" w:hAnsi="Arial" w:eastAsia="黑体" w:cs="Arial"/>
          <w:color w:val="auto"/>
          <w:sz w:val="24"/>
          <w:szCs w:val="24"/>
          <w:highlight w:val="none"/>
        </w:rPr>
        <w:t>2</w:t>
      </w:r>
      <w:r>
        <w:rPr>
          <w:rFonts w:hint="eastAsia" w:ascii="Arial" w:hAnsi="Arial" w:eastAsia="黑体" w:cs="Arial"/>
          <w:color w:val="auto"/>
          <w:sz w:val="24"/>
          <w:szCs w:val="24"/>
          <w:highlight w:val="none"/>
          <w:lang w:val="en-US" w:eastAsia="zh-CN"/>
        </w:rPr>
        <w:t>3</w:t>
      </w:r>
      <w:r>
        <w:rPr>
          <w:rFonts w:hint="eastAsia" w:ascii="Arial" w:hAnsi="Arial" w:eastAsia="黑体" w:cs="Arial"/>
          <w:color w:val="auto"/>
          <w:sz w:val="24"/>
          <w:szCs w:val="24"/>
          <w:highlight w:val="none"/>
        </w:rPr>
        <w:t>、响应文件的撤回和修改</w:t>
      </w:r>
      <w:bookmarkEnd w:id="143"/>
      <w:bookmarkEnd w:id="144"/>
      <w:bookmarkEnd w:id="145"/>
    </w:p>
    <w:p w14:paraId="0BC24AEA">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.1响应文件的撤回</w:t>
      </w:r>
    </w:p>
    <w:p w14:paraId="230230A1">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.1.1 电子响应文件的撤回</w:t>
      </w:r>
    </w:p>
    <w:p w14:paraId="5113C04D">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供应商可在</w:t>
      </w:r>
      <w:r>
        <w:rPr>
          <w:rFonts w:hint="eastAsia" w:ascii="宋体" w:hAnsi="宋体"/>
          <w:bCs/>
          <w:color w:val="auto"/>
          <w:sz w:val="24"/>
          <w:szCs w:val="24"/>
          <w:highlight w:val="none"/>
        </w:rPr>
        <w:t>提交响应文件</w:t>
      </w:r>
      <w:r>
        <w:rPr>
          <w:rFonts w:hint="eastAsia" w:ascii="宋体" w:hAnsi="宋体"/>
          <w:color w:val="auto"/>
          <w:sz w:val="24"/>
          <w:szCs w:val="24"/>
          <w:highlight w:val="none"/>
        </w:rPr>
        <w:t>截止时间前，撤回其电子响应文件，具体操作方法见《操作手册》。</w:t>
      </w:r>
    </w:p>
    <w:p w14:paraId="5D2522FC">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供应商撤回电子响应文件，则认为其不再参与本项目磋商活动。</w:t>
      </w:r>
    </w:p>
    <w:p w14:paraId="7A8FEE8E">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.2响应文件的修改</w:t>
      </w:r>
    </w:p>
    <w:p w14:paraId="13BE620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供应商可在</w:t>
      </w:r>
      <w:r>
        <w:rPr>
          <w:rFonts w:hint="eastAsia" w:ascii="宋体" w:hAnsi="宋体"/>
          <w:bCs/>
          <w:color w:val="auto"/>
          <w:sz w:val="24"/>
          <w:szCs w:val="24"/>
          <w:highlight w:val="none"/>
        </w:rPr>
        <w:t>提交响应文件</w:t>
      </w:r>
      <w:r>
        <w:rPr>
          <w:rFonts w:hint="eastAsia" w:ascii="宋体" w:hAnsi="宋体"/>
          <w:color w:val="auto"/>
          <w:sz w:val="24"/>
          <w:szCs w:val="24"/>
          <w:highlight w:val="none"/>
        </w:rPr>
        <w:t>截止时间前，对其电子响应文件进行修改，具体操作方法见《操作手册》。</w:t>
      </w:r>
    </w:p>
    <w:p w14:paraId="7E2CA620">
      <w:pPr>
        <w:spacing w:line="44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.3</w:t>
      </w:r>
      <w:r>
        <w:rPr>
          <w:rFonts w:hint="eastAsia" w:ascii="宋体" w:hAnsi="宋体"/>
          <w:bCs/>
          <w:color w:val="auto"/>
          <w:sz w:val="24"/>
          <w:szCs w:val="24"/>
          <w:highlight w:val="none"/>
        </w:rPr>
        <w:t xml:space="preserve"> 在提交响应文件截止时间之后，供应商不得对其电子响应文件作任何修改。</w:t>
      </w:r>
    </w:p>
    <w:p w14:paraId="0330C67C">
      <w:pPr>
        <w:spacing w:line="44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.4</w:t>
      </w:r>
      <w:r>
        <w:rPr>
          <w:rFonts w:hint="eastAsia" w:ascii="宋体" w:hAnsi="宋体"/>
          <w:bCs/>
          <w:color w:val="auto"/>
          <w:sz w:val="24"/>
          <w:szCs w:val="24"/>
          <w:highlight w:val="none"/>
        </w:rPr>
        <w:t xml:space="preserve"> 在提交响应文件截止时间至磋商文件中规定的磋商有效期满之间的这段时间内，供应商不得撤回其响应文件。</w:t>
      </w:r>
    </w:p>
    <w:p w14:paraId="3718661E">
      <w:pPr>
        <w:keepNext/>
        <w:keepLines/>
        <w:spacing w:before="145" w:beforeLines="50" w:after="145" w:afterLines="50" w:line="440" w:lineRule="exact"/>
        <w:ind w:firstLine="373" w:firstLineChars="155"/>
        <w:outlineLvl w:val="2"/>
        <w:rPr>
          <w:rFonts w:hint="eastAsia" w:ascii="Times New Roman" w:hAnsi="Times New Roman"/>
          <w:b/>
          <w:bCs/>
          <w:color w:val="auto"/>
          <w:sz w:val="24"/>
          <w:szCs w:val="24"/>
          <w:highlight w:val="none"/>
        </w:rPr>
      </w:pPr>
      <w:bookmarkStart w:id="146" w:name="_Toc20823301"/>
      <w:bookmarkStart w:id="147" w:name="_Toc513029229"/>
      <w:bookmarkStart w:id="148" w:name="_Toc120614218"/>
      <w:bookmarkStart w:id="149" w:name="_Toc16938545"/>
      <w:r>
        <w:rPr>
          <w:rFonts w:hint="eastAsia" w:ascii="Times New Roman" w:hAnsi="Times New Roman"/>
          <w:b/>
          <w:bCs/>
          <w:color w:val="auto"/>
          <w:sz w:val="24"/>
          <w:szCs w:val="24"/>
          <w:highlight w:val="none"/>
        </w:rPr>
        <w:t>五、响应文件的解密与评审</w:t>
      </w:r>
      <w:bookmarkEnd w:id="146"/>
      <w:bookmarkEnd w:id="147"/>
      <w:bookmarkEnd w:id="148"/>
      <w:bookmarkEnd w:id="149"/>
    </w:p>
    <w:p w14:paraId="5B634BB6">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150" w:name="_Toc20823302"/>
      <w:bookmarkStart w:id="151" w:name="_Toc513029230"/>
      <w:bookmarkStart w:id="152" w:name="_Toc16938546"/>
      <w:r>
        <w:rPr>
          <w:rFonts w:hint="eastAsia" w:ascii="Arial" w:hAnsi="Arial" w:eastAsia="黑体" w:cs="Arial"/>
          <w:color w:val="auto"/>
          <w:sz w:val="24"/>
          <w:szCs w:val="24"/>
          <w:highlight w:val="none"/>
        </w:rPr>
        <w:t>2</w:t>
      </w:r>
      <w:r>
        <w:rPr>
          <w:rFonts w:hint="eastAsia" w:ascii="Arial" w:hAnsi="Arial" w:eastAsia="黑体" w:cs="Arial"/>
          <w:color w:val="auto"/>
          <w:sz w:val="24"/>
          <w:szCs w:val="24"/>
          <w:highlight w:val="none"/>
          <w:lang w:val="en-US" w:eastAsia="zh-CN"/>
        </w:rPr>
        <w:t>4</w:t>
      </w:r>
      <w:r>
        <w:rPr>
          <w:rFonts w:hint="eastAsia" w:ascii="Arial" w:hAnsi="Arial" w:eastAsia="黑体" w:cs="Arial"/>
          <w:color w:val="auto"/>
          <w:sz w:val="24"/>
          <w:szCs w:val="24"/>
          <w:highlight w:val="none"/>
        </w:rPr>
        <w:t>、</w:t>
      </w:r>
      <w:bookmarkEnd w:id="150"/>
      <w:bookmarkEnd w:id="151"/>
      <w:bookmarkEnd w:id="152"/>
      <w:r>
        <w:rPr>
          <w:rFonts w:hint="eastAsia" w:ascii="Arial" w:hAnsi="Arial" w:eastAsia="黑体" w:cs="Arial"/>
          <w:color w:val="auto"/>
          <w:sz w:val="24"/>
          <w:szCs w:val="24"/>
          <w:highlight w:val="none"/>
        </w:rPr>
        <w:t>响应文件解密</w:t>
      </w:r>
    </w:p>
    <w:p w14:paraId="098AE7A1">
      <w:pPr>
        <w:spacing w:line="440" w:lineRule="exact"/>
        <w:ind w:firstLine="360" w:firstLineChars="150"/>
        <w:rPr>
          <w:rFonts w:hint="eastAsia" w:ascii="Times New Roman" w:hAnsi="Times New Roman"/>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.1供应商应当按照《操作手册》规定，在苏采云系统规定的时间内对磋商响应文件进行解密。</w:t>
      </w:r>
    </w:p>
    <w:p w14:paraId="3A438C96">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153" w:name="_Toc513029231"/>
      <w:bookmarkStart w:id="154" w:name="_Toc20823303"/>
      <w:bookmarkStart w:id="155" w:name="_Toc16938547"/>
      <w:r>
        <w:rPr>
          <w:rFonts w:hint="eastAsia" w:ascii="Arial" w:hAnsi="Arial" w:eastAsia="黑体" w:cs="Arial"/>
          <w:color w:val="auto"/>
          <w:sz w:val="24"/>
          <w:szCs w:val="24"/>
          <w:highlight w:val="none"/>
        </w:rPr>
        <w:t>2</w:t>
      </w:r>
      <w:r>
        <w:rPr>
          <w:rFonts w:hint="eastAsia" w:ascii="Arial" w:hAnsi="Arial" w:eastAsia="黑体" w:cs="Arial"/>
          <w:color w:val="auto"/>
          <w:sz w:val="24"/>
          <w:szCs w:val="24"/>
          <w:highlight w:val="none"/>
          <w:lang w:val="en-US" w:eastAsia="zh-CN"/>
        </w:rPr>
        <w:t>5</w:t>
      </w:r>
      <w:r>
        <w:rPr>
          <w:rFonts w:hint="eastAsia" w:ascii="Arial" w:hAnsi="Arial" w:eastAsia="黑体" w:cs="Arial"/>
          <w:color w:val="auto"/>
          <w:sz w:val="24"/>
          <w:szCs w:val="24"/>
          <w:highlight w:val="none"/>
        </w:rPr>
        <w:t>、磋商小组</w:t>
      </w:r>
    </w:p>
    <w:p w14:paraId="05CA814B">
      <w:p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rPr>
        <w:t xml:space="preserve">  </w:t>
      </w:r>
      <w:r>
        <w:rPr>
          <w:rFonts w:hint="eastAsia" w:ascii="宋体" w:hAnsi="宋体"/>
          <w:color w:val="auto"/>
          <w:sz w:val="24"/>
          <w:szCs w:val="24"/>
          <w:highlight w:val="none"/>
        </w:rPr>
        <w:t xml:space="preserve"> 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.1磋商小组对响应文件进行评审。磋商小组由采购人代表和有关技术、经济等方面的专家组成，且人员构成符合政府采购有关规定。</w:t>
      </w:r>
    </w:p>
    <w:p w14:paraId="3C864FBB">
      <w:pPr>
        <w:spacing w:line="440" w:lineRule="exact"/>
        <w:rPr>
          <w:rFonts w:hint="eastAsia" w:ascii="宋体" w:hAnsi="宋体"/>
          <w:color w:val="auto"/>
          <w:sz w:val="24"/>
          <w:szCs w:val="24"/>
          <w:highlight w:val="none"/>
        </w:rPr>
      </w:pPr>
      <w:r>
        <w:rPr>
          <w:rFonts w:hint="eastAsia" w:ascii="宋体" w:hAnsi="宋体"/>
          <w:b/>
          <w:color w:val="auto"/>
          <w:sz w:val="24"/>
          <w:szCs w:val="24"/>
          <w:highlight w:val="none"/>
        </w:rPr>
        <w:t xml:space="preserve">  </w:t>
      </w:r>
      <w:r>
        <w:rPr>
          <w:rFonts w:hint="eastAsia" w:ascii="宋体" w:hAnsi="宋体"/>
          <w:color w:val="auto"/>
          <w:sz w:val="24"/>
          <w:szCs w:val="24"/>
          <w:highlight w:val="none"/>
        </w:rPr>
        <w:t xml:space="preserve"> 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.2磋商小组独立工作，负责评审所有响应文件并确定成交侯选人。</w:t>
      </w:r>
    </w:p>
    <w:p w14:paraId="37864A4C">
      <w:pPr>
        <w:keepNext/>
        <w:keepLines/>
        <w:spacing w:line="440" w:lineRule="exact"/>
        <w:ind w:firstLine="360" w:firstLineChars="150"/>
        <w:outlineLvl w:val="3"/>
        <w:rPr>
          <w:rFonts w:hint="eastAsia" w:ascii="黑体" w:hAnsi="Arial" w:eastAsia="黑体" w:cs="Arial"/>
          <w:color w:val="auto"/>
          <w:sz w:val="24"/>
          <w:szCs w:val="24"/>
          <w:highlight w:val="none"/>
        </w:rPr>
      </w:pPr>
      <w:r>
        <w:rPr>
          <w:rFonts w:hint="eastAsia" w:ascii="黑体" w:hAnsi="Arial" w:eastAsia="黑体" w:cs="Arial"/>
          <w:color w:val="auto"/>
          <w:sz w:val="24"/>
          <w:szCs w:val="24"/>
          <w:highlight w:val="none"/>
        </w:rPr>
        <w:t>2</w:t>
      </w:r>
      <w:r>
        <w:rPr>
          <w:rFonts w:hint="eastAsia" w:ascii="黑体" w:hAnsi="Arial" w:eastAsia="黑体" w:cs="Arial"/>
          <w:color w:val="auto"/>
          <w:sz w:val="24"/>
          <w:szCs w:val="24"/>
          <w:highlight w:val="none"/>
          <w:lang w:val="en-US" w:eastAsia="zh-CN"/>
        </w:rPr>
        <w:t>6</w:t>
      </w:r>
      <w:r>
        <w:rPr>
          <w:rFonts w:hint="eastAsia" w:ascii="黑体" w:hAnsi="Arial" w:eastAsia="黑体" w:cs="Arial"/>
          <w:color w:val="auto"/>
          <w:sz w:val="24"/>
          <w:szCs w:val="24"/>
          <w:highlight w:val="none"/>
        </w:rPr>
        <w:t>、评审过程的保密与公正</w:t>
      </w:r>
    </w:p>
    <w:bookmarkEnd w:id="153"/>
    <w:bookmarkEnd w:id="154"/>
    <w:bookmarkEnd w:id="155"/>
    <w:p w14:paraId="513A663E">
      <w:pPr>
        <w:spacing w:line="44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w:t>
      </w:r>
      <w:r>
        <w:rPr>
          <w:rFonts w:hint="eastAsia" w:ascii="宋体" w:hAnsi="宋体"/>
          <w:bCs/>
          <w:color w:val="auto"/>
          <w:sz w:val="24"/>
          <w:szCs w:val="24"/>
          <w:highlight w:val="none"/>
        </w:rPr>
        <w:t>磋商小组、采购人、采购代理机构、相关监督人员等与评审工作有关的人员，对评审情况以及在评审过程中获悉的国家秘密、商业秘密负有保密责任。</w:t>
      </w:r>
    </w:p>
    <w:p w14:paraId="7938ADE4">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.2在评审过程中，供应商不得以任何行为影响磋商评审过程，否则其响应文件将被作为无效响应文件。</w:t>
      </w:r>
    </w:p>
    <w:p w14:paraId="5B41E07C">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.3在项目评审期间，采购代理机构将设专门人员与供应商联系。</w:t>
      </w:r>
    </w:p>
    <w:p w14:paraId="38538F56">
      <w:pPr>
        <w:spacing w:line="44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.4采购代理机构和磋商小组不向未成交的供应商解释未成交原因，也不公布评审过程中的相关细节。</w:t>
      </w:r>
    </w:p>
    <w:p w14:paraId="0E05ACF9">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156" w:name="_Toc513029232"/>
      <w:bookmarkStart w:id="157" w:name="_Toc20823304"/>
      <w:bookmarkStart w:id="158" w:name="_Toc16938548"/>
      <w:r>
        <w:rPr>
          <w:rFonts w:hint="eastAsia" w:ascii="Arial" w:hAnsi="Arial" w:eastAsia="黑体" w:cs="Arial"/>
          <w:color w:val="auto"/>
          <w:sz w:val="24"/>
          <w:szCs w:val="24"/>
          <w:highlight w:val="none"/>
        </w:rPr>
        <w:t>2</w:t>
      </w:r>
      <w:r>
        <w:rPr>
          <w:rFonts w:hint="eastAsia" w:ascii="Arial" w:hAnsi="Arial" w:eastAsia="黑体" w:cs="Arial"/>
          <w:color w:val="auto"/>
          <w:sz w:val="24"/>
          <w:szCs w:val="24"/>
          <w:highlight w:val="none"/>
          <w:lang w:val="en-US" w:eastAsia="zh-CN"/>
        </w:rPr>
        <w:t>7</w:t>
      </w:r>
      <w:r>
        <w:rPr>
          <w:rFonts w:hint="eastAsia" w:ascii="Arial" w:hAnsi="Arial" w:eastAsia="黑体" w:cs="Arial"/>
          <w:color w:val="auto"/>
          <w:sz w:val="24"/>
          <w:szCs w:val="24"/>
          <w:highlight w:val="none"/>
        </w:rPr>
        <w:t>、评审过程中的的澄清</w:t>
      </w:r>
      <w:bookmarkEnd w:id="156"/>
      <w:bookmarkEnd w:id="157"/>
      <w:bookmarkEnd w:id="158"/>
    </w:p>
    <w:p w14:paraId="3220D6FB">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3A291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磋商小组并非对每个供应商都作澄清要求。</w:t>
      </w:r>
    </w:p>
    <w:p w14:paraId="7F9B54BC">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.2需要供应商进行澄清、说明和更正的，磋商小组将通过</w:t>
      </w:r>
      <w:r>
        <w:rPr>
          <w:rFonts w:hint="eastAsia" w:ascii="宋体" w:hAnsi="宋体"/>
          <w:color w:val="auto"/>
          <w:sz w:val="24"/>
          <w:szCs w:val="24"/>
          <w:highlight w:val="none"/>
        </w:rPr>
        <w:t>苏采云系统</w:t>
      </w:r>
      <w:r>
        <w:rPr>
          <w:rFonts w:hint="eastAsia" w:ascii="宋体" w:hAnsi="宋体" w:cs="宋体"/>
          <w:color w:val="auto"/>
          <w:sz w:val="24"/>
          <w:szCs w:val="24"/>
          <w:highlight w:val="none"/>
        </w:rPr>
        <w:t>向供应商发布“澄清要求函”，接到“澄清要求函”的供应商应当按照要求在</w:t>
      </w:r>
      <w:r>
        <w:rPr>
          <w:rFonts w:hint="eastAsia" w:ascii="宋体" w:hAnsi="宋体"/>
          <w:color w:val="auto"/>
          <w:sz w:val="24"/>
          <w:szCs w:val="24"/>
          <w:highlight w:val="none"/>
        </w:rPr>
        <w:t>苏采云系统</w:t>
      </w:r>
      <w:r>
        <w:rPr>
          <w:rFonts w:hint="eastAsia" w:ascii="宋体" w:hAnsi="宋体" w:cs="宋体"/>
          <w:color w:val="auto"/>
          <w:sz w:val="24"/>
          <w:szCs w:val="24"/>
          <w:highlight w:val="none"/>
        </w:rPr>
        <w:t>中提交“澄清响应函”并加盖CA电子公章。澄清、说明和更正的内容作为响应文件的补充部分，具体</w:t>
      </w:r>
      <w:r>
        <w:rPr>
          <w:rFonts w:ascii="宋体" w:hAnsi="宋体" w:cs="宋体"/>
          <w:color w:val="auto"/>
          <w:sz w:val="24"/>
          <w:szCs w:val="24"/>
          <w:highlight w:val="none"/>
        </w:rPr>
        <w:t>操作</w:t>
      </w:r>
      <w:r>
        <w:rPr>
          <w:rFonts w:hint="eastAsia" w:ascii="宋体" w:hAnsi="宋体" w:cs="宋体"/>
          <w:color w:val="auto"/>
          <w:sz w:val="24"/>
          <w:szCs w:val="24"/>
          <w:highlight w:val="none"/>
        </w:rPr>
        <w:t>方式</w:t>
      </w:r>
      <w:r>
        <w:rPr>
          <w:rFonts w:ascii="宋体" w:hAnsi="宋体" w:cs="宋体"/>
          <w:color w:val="auto"/>
          <w:sz w:val="24"/>
          <w:szCs w:val="24"/>
          <w:highlight w:val="none"/>
        </w:rPr>
        <w:t>见</w:t>
      </w:r>
      <w:r>
        <w:rPr>
          <w:rFonts w:hint="eastAsia" w:ascii="宋体" w:hAnsi="宋体" w:cs="宋体"/>
          <w:color w:val="auto"/>
          <w:sz w:val="24"/>
          <w:szCs w:val="24"/>
          <w:highlight w:val="none"/>
        </w:rPr>
        <w:t>《操作手册》。</w:t>
      </w:r>
    </w:p>
    <w:p w14:paraId="3CDE4297">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2</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.3 接到磋商小组澄清、说明和更正要求的供应商如未按规定做出澄清、说明和 更正，其风险由供应商自行承担。</w:t>
      </w:r>
    </w:p>
    <w:p w14:paraId="1F7429A5">
      <w:pPr>
        <w:keepNext/>
        <w:keepLines/>
        <w:spacing w:line="440" w:lineRule="exact"/>
        <w:ind w:firstLine="360" w:firstLineChars="150"/>
        <w:outlineLvl w:val="3"/>
        <w:rPr>
          <w:rFonts w:hint="eastAsia" w:ascii="Arial" w:hAnsi="Arial" w:eastAsia="黑体" w:cs="Arial"/>
          <w:color w:val="auto"/>
          <w:sz w:val="24"/>
          <w:szCs w:val="24"/>
          <w:highlight w:val="none"/>
        </w:rPr>
      </w:pPr>
      <w:bookmarkStart w:id="159" w:name="_Toc20823305"/>
      <w:bookmarkStart w:id="160" w:name="_Toc513029233"/>
      <w:bookmarkStart w:id="161" w:name="_Toc16938549"/>
      <w:r>
        <w:rPr>
          <w:rFonts w:hint="eastAsia" w:ascii="Arial" w:hAnsi="Arial" w:eastAsia="黑体" w:cs="Arial"/>
          <w:color w:val="auto"/>
          <w:sz w:val="24"/>
          <w:szCs w:val="24"/>
          <w:highlight w:val="none"/>
        </w:rPr>
        <w:t>2</w:t>
      </w:r>
      <w:r>
        <w:rPr>
          <w:rFonts w:hint="eastAsia" w:ascii="Arial" w:hAnsi="Arial" w:eastAsia="黑体" w:cs="Arial"/>
          <w:color w:val="auto"/>
          <w:sz w:val="24"/>
          <w:szCs w:val="24"/>
          <w:highlight w:val="none"/>
          <w:lang w:val="en-US" w:eastAsia="zh-CN"/>
        </w:rPr>
        <w:t>8</w:t>
      </w:r>
      <w:r>
        <w:rPr>
          <w:rFonts w:hint="eastAsia" w:ascii="Arial" w:hAnsi="Arial" w:eastAsia="黑体" w:cs="Arial"/>
          <w:color w:val="auto"/>
          <w:sz w:val="24"/>
          <w:szCs w:val="24"/>
          <w:highlight w:val="none"/>
        </w:rPr>
        <w:t>、对响应文件的审</w:t>
      </w:r>
      <w:bookmarkEnd w:id="159"/>
      <w:bookmarkEnd w:id="160"/>
      <w:bookmarkEnd w:id="161"/>
      <w:r>
        <w:rPr>
          <w:rFonts w:hint="eastAsia" w:ascii="Arial" w:hAnsi="Arial" w:eastAsia="黑体" w:cs="Arial"/>
          <w:color w:val="auto"/>
          <w:sz w:val="24"/>
          <w:szCs w:val="24"/>
          <w:highlight w:val="none"/>
        </w:rPr>
        <w:t>查</w:t>
      </w:r>
    </w:p>
    <w:p w14:paraId="00DC6D7F">
      <w:pPr>
        <w:spacing w:line="44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w:t>
      </w:r>
      <w:r>
        <w:rPr>
          <w:rFonts w:hint="eastAsia" w:ascii="宋体" w:hAnsi="宋体"/>
          <w:bCs/>
          <w:color w:val="auto"/>
          <w:sz w:val="24"/>
          <w:szCs w:val="24"/>
          <w:highlight w:val="none"/>
        </w:rPr>
        <w:t>响应文件审查分为资格审查和符合性审查。</w:t>
      </w:r>
    </w:p>
    <w:p w14:paraId="3900A596">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.1.1 资格审查：由磋商小组依据法律法规和磋商文件的规定，对响应文件中的资格证明文件进行审查，以确定供应商是否具备参加磋商的资格。</w:t>
      </w:r>
    </w:p>
    <w:p w14:paraId="0FFA3CB4">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磋商小组在进行资格审查的同时，将在“信用中国”网站（www.creditchina.gov.cn）、中国政府采购网查询供应商的信用记录，以确定供应商是否具备磋商资格,查询结果留存并归档。</w:t>
      </w:r>
    </w:p>
    <w:p w14:paraId="170A5C81">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4F2A6EBD">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.1.2 符合性审查：依据磋商文件的规定，由磋商小组从响应文件的有效性、完整性和对磋商文件的响应程度进行审查，以确定是否对磋商文件的实质性要求作出响应。</w:t>
      </w:r>
    </w:p>
    <w:p w14:paraId="4F91705D">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.1.3 未通过资格审查或符合性审查的供应商，磋商小组将在</w:t>
      </w:r>
      <w:r>
        <w:rPr>
          <w:rFonts w:hint="eastAsia" w:ascii="宋体" w:hAnsi="宋体"/>
          <w:color w:val="auto"/>
          <w:sz w:val="24"/>
          <w:szCs w:val="24"/>
          <w:highlight w:val="none"/>
        </w:rPr>
        <w:t>苏采云系统</w:t>
      </w:r>
      <w:r>
        <w:rPr>
          <w:rFonts w:hint="eastAsia" w:ascii="宋体" w:hAnsi="宋体"/>
          <w:bCs/>
          <w:color w:val="auto"/>
          <w:sz w:val="24"/>
          <w:szCs w:val="24"/>
          <w:highlight w:val="none"/>
        </w:rPr>
        <w:t>中告知未通过资格审查或符合性审查的原因，评审结束后，磋商小组将不再告知未通过资格审查或符合性审查的原因。</w:t>
      </w:r>
    </w:p>
    <w:p w14:paraId="130FB7D0">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.2在详细评审之前，磋商小组将首先审查每份响应文件是否实质性响应了磋商文件的要求。实质性响应的响应文件应该是与磋商文件要求的条款、条件和规格相符，没有重大偏离或保留。</w:t>
      </w:r>
    </w:p>
    <w:p w14:paraId="5F7AEBB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所谓重大偏离或保留是指与磋商文件规定的实质性要求存在负偏离，或者在实质上与磋商文件不一致，而且限制了合同中买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7623533B">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.3未实质性响应磋商文件的情形：</w:t>
      </w:r>
    </w:p>
    <w:p w14:paraId="752AC011">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.3.1供应商在</w:t>
      </w:r>
      <w:r>
        <w:rPr>
          <w:rFonts w:hint="eastAsia" w:ascii="宋体" w:hAnsi="宋体"/>
          <w:color w:val="auto"/>
          <w:sz w:val="24"/>
          <w:szCs w:val="24"/>
          <w:highlight w:val="none"/>
        </w:rPr>
        <w:t>苏采云系统</w:t>
      </w:r>
      <w:r>
        <w:rPr>
          <w:rFonts w:hint="eastAsia" w:ascii="宋体" w:hAnsi="宋体"/>
          <w:bCs/>
          <w:color w:val="auto"/>
          <w:sz w:val="24"/>
          <w:szCs w:val="24"/>
          <w:highlight w:val="none"/>
        </w:rPr>
        <w:t>规定的时间内未成功解密电子响应文件的。</w:t>
      </w:r>
    </w:p>
    <w:p w14:paraId="24FAE275">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28.3.</w:t>
      </w:r>
      <w:r>
        <w:rPr>
          <w:rFonts w:hint="eastAsia" w:ascii="宋体" w:hAnsi="宋体"/>
          <w:bCs/>
          <w:color w:val="auto"/>
          <w:sz w:val="24"/>
          <w:szCs w:val="24"/>
          <w:highlight w:val="none"/>
        </w:rPr>
        <w:t>2供应商未按照磋商文件要求上传电子响应文件的。</w:t>
      </w:r>
    </w:p>
    <w:p w14:paraId="79DD6A38">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28.3.</w:t>
      </w:r>
      <w:r>
        <w:rPr>
          <w:rFonts w:hint="eastAsia" w:ascii="宋体" w:hAnsi="宋体"/>
          <w:bCs/>
          <w:color w:val="auto"/>
          <w:sz w:val="24"/>
          <w:szCs w:val="24"/>
          <w:highlight w:val="none"/>
        </w:rPr>
        <w:t>3同一供应商提交两个（含两个）以上不同的响应文件或者最后报价的。</w:t>
      </w:r>
    </w:p>
    <w:p w14:paraId="56DBB1B4">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28.3.</w:t>
      </w:r>
      <w:r>
        <w:rPr>
          <w:rFonts w:hint="eastAsia" w:ascii="宋体" w:hAnsi="宋体"/>
          <w:bCs/>
          <w:color w:val="auto"/>
          <w:sz w:val="24"/>
          <w:szCs w:val="24"/>
          <w:highlight w:val="none"/>
        </w:rPr>
        <w:t>4供应商不具备磋商文件中规定资格要求的。</w:t>
      </w:r>
    </w:p>
    <w:p w14:paraId="71949D36">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28.3.</w:t>
      </w:r>
      <w:r>
        <w:rPr>
          <w:rFonts w:hint="eastAsia" w:ascii="宋体" w:hAnsi="宋体"/>
          <w:bCs/>
          <w:color w:val="auto"/>
          <w:sz w:val="24"/>
          <w:szCs w:val="24"/>
          <w:highlight w:val="none"/>
        </w:rPr>
        <w:t>5供应商的最后报价超过了采购预算。</w:t>
      </w:r>
    </w:p>
    <w:p w14:paraId="29375123">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28.3.</w:t>
      </w:r>
      <w:r>
        <w:rPr>
          <w:rFonts w:hint="eastAsia" w:ascii="宋体" w:hAnsi="宋体"/>
          <w:bCs/>
          <w:color w:val="auto"/>
          <w:sz w:val="24"/>
          <w:szCs w:val="24"/>
          <w:highlight w:val="none"/>
        </w:rPr>
        <w:t>6不符合磋商文件中规定的实质性要求和条件的</w:t>
      </w:r>
      <w:r>
        <w:rPr>
          <w:rFonts w:hint="eastAsia" w:ascii="宋体" w:hAnsi="宋体"/>
          <w:bCs/>
          <w:i/>
          <w:color w:val="auto"/>
          <w:sz w:val="24"/>
          <w:szCs w:val="24"/>
          <w:highlight w:val="none"/>
          <w:u w:val="single"/>
        </w:rPr>
        <w:t>（本磋商文件中斜体且有下划线部分为实质性要求和条件）。</w:t>
      </w:r>
    </w:p>
    <w:p w14:paraId="4DAE0BEE">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28.3.</w:t>
      </w:r>
      <w:r>
        <w:rPr>
          <w:rFonts w:hint="eastAsia" w:ascii="宋体" w:hAnsi="宋体"/>
          <w:bCs/>
          <w:color w:val="auto"/>
          <w:sz w:val="24"/>
          <w:szCs w:val="24"/>
          <w:highlight w:val="none"/>
        </w:rPr>
        <w:t>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7645CF5">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28.3.</w:t>
      </w:r>
      <w:r>
        <w:rPr>
          <w:rFonts w:hint="eastAsia" w:ascii="宋体" w:hAnsi="宋体"/>
          <w:bCs/>
          <w:color w:val="auto"/>
          <w:sz w:val="24"/>
          <w:szCs w:val="24"/>
          <w:highlight w:val="none"/>
        </w:rPr>
        <w:t>8 响应文件含有采购人不能接受的附加条件的。</w:t>
      </w:r>
    </w:p>
    <w:p w14:paraId="376E47C6">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28.3.</w:t>
      </w:r>
      <w:r>
        <w:rPr>
          <w:rFonts w:hint="eastAsia" w:ascii="宋体" w:hAnsi="宋体"/>
          <w:bCs/>
          <w:color w:val="auto"/>
          <w:sz w:val="24"/>
          <w:szCs w:val="24"/>
          <w:highlight w:val="none"/>
        </w:rPr>
        <w:t>9 响应文件未按照磋商文件要求加盖CA电子公章的。</w:t>
      </w:r>
    </w:p>
    <w:p w14:paraId="3A9DD656">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28.3.</w:t>
      </w:r>
      <w:r>
        <w:rPr>
          <w:rFonts w:hint="eastAsia" w:ascii="宋体" w:hAnsi="宋体"/>
          <w:bCs/>
          <w:color w:val="auto"/>
          <w:sz w:val="24"/>
          <w:szCs w:val="24"/>
          <w:highlight w:val="none"/>
        </w:rPr>
        <w:t>10磋商小组认为供应商的报价明显低于其他通过符合性审查供应商的报价，有可能影响产品质量或者不能诚信履约的，将通过苏采云系统要求其在合理的时间内提供说明，必要时提交相关证明材料；供应商不能证明其报价合理性的，磋商小组应当将其作为无效响应处理。</w:t>
      </w:r>
    </w:p>
    <w:p w14:paraId="441A96DF">
      <w:pPr>
        <w:spacing w:line="440" w:lineRule="exact"/>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eastAsia="zh-CN"/>
        </w:rPr>
        <w:t>28.3.</w:t>
      </w:r>
      <w:r>
        <w:rPr>
          <w:rFonts w:hint="eastAsia" w:ascii="宋体" w:hAnsi="宋体" w:eastAsia="宋体" w:cs="Times New Roman"/>
          <w:bCs/>
          <w:color w:val="auto"/>
          <w:sz w:val="24"/>
          <w:szCs w:val="24"/>
          <w:highlight w:val="none"/>
        </w:rPr>
        <w:t>11其他法律、法规及本磋商文件规定的属无效响应的情形。</w:t>
      </w:r>
    </w:p>
    <w:p w14:paraId="2C024FF1">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.4未实质性响应磋商文件的响应文件按无效响应处理。</w:t>
      </w:r>
    </w:p>
    <w:p w14:paraId="63CD046E">
      <w:pPr>
        <w:spacing w:line="440" w:lineRule="exact"/>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6</w:t>
      </w:r>
      <w:r>
        <w:rPr>
          <w:rFonts w:hint="eastAsia" w:ascii="宋体" w:hAnsi="宋体"/>
          <w:color w:val="auto"/>
          <w:sz w:val="24"/>
          <w:szCs w:val="24"/>
          <w:highlight w:val="none"/>
        </w:rPr>
        <w:t>.5</w:t>
      </w:r>
      <w:r>
        <w:rPr>
          <w:rFonts w:hint="eastAsia" w:ascii="宋体" w:hAnsi="宋体"/>
          <w:bCs/>
          <w:color w:val="auto"/>
          <w:sz w:val="24"/>
          <w:szCs w:val="24"/>
          <w:highlight w:val="none"/>
        </w:rPr>
        <w:t>如果响应文件实质上没有响应磋商文件的要求，磋商小组将予以拒绝，供应商不得通过修改或撤销不合要求的偏离或保留而使其成为实质性响应的文件。</w:t>
      </w:r>
    </w:p>
    <w:p w14:paraId="29497ADB">
      <w:pPr>
        <w:spacing w:line="440" w:lineRule="exact"/>
        <w:ind w:firstLine="561"/>
        <w:rPr>
          <w:rFonts w:hint="eastAsia" w:ascii="宋体" w:hAnsi="宋体"/>
          <w:b/>
          <w:bCs/>
          <w:color w:val="auto"/>
          <w:sz w:val="24"/>
          <w:szCs w:val="24"/>
          <w:highlight w:val="none"/>
        </w:rPr>
      </w:pPr>
      <w:r>
        <w:rPr>
          <w:rFonts w:hint="eastAsia" w:ascii="宋体" w:hAnsi="宋体"/>
          <w:b/>
          <w:bCs/>
          <w:color w:val="auto"/>
          <w:sz w:val="24"/>
          <w:szCs w:val="24"/>
          <w:highlight w:val="none"/>
        </w:rPr>
        <w:t>2</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bookmarkStart w:id="162" w:name="_Toc20823306"/>
      <w:bookmarkStart w:id="163" w:name="_Toc16938550"/>
      <w:bookmarkStart w:id="164" w:name="_Toc513029234"/>
      <w:r>
        <w:rPr>
          <w:rFonts w:hint="eastAsia" w:ascii="宋体" w:hAnsi="宋体"/>
          <w:b/>
          <w:bCs/>
          <w:color w:val="auto"/>
          <w:sz w:val="24"/>
          <w:szCs w:val="24"/>
          <w:highlight w:val="none"/>
        </w:rPr>
        <w:t>6供应商在项目评审全过程中应保持通讯畅通，及时登录苏采云系统查阅</w:t>
      </w:r>
      <w:r>
        <w:rPr>
          <w:rFonts w:ascii="宋体" w:hAnsi="宋体"/>
          <w:b/>
          <w:bCs/>
          <w:color w:val="auto"/>
          <w:sz w:val="24"/>
          <w:szCs w:val="24"/>
          <w:highlight w:val="none"/>
        </w:rPr>
        <w:t>、答复相关</w:t>
      </w:r>
      <w:r>
        <w:rPr>
          <w:rFonts w:hint="eastAsia" w:ascii="宋体" w:hAnsi="宋体"/>
          <w:b/>
          <w:bCs/>
          <w:color w:val="auto"/>
          <w:sz w:val="24"/>
          <w:szCs w:val="24"/>
          <w:highlight w:val="none"/>
        </w:rPr>
        <w:t>信息</w:t>
      </w:r>
      <w:r>
        <w:rPr>
          <w:rFonts w:ascii="宋体" w:hAnsi="宋体"/>
          <w:b/>
          <w:bCs/>
          <w:color w:val="auto"/>
          <w:sz w:val="24"/>
          <w:szCs w:val="24"/>
          <w:highlight w:val="none"/>
        </w:rPr>
        <w:t>，</w:t>
      </w:r>
      <w:r>
        <w:rPr>
          <w:rFonts w:hint="eastAsia" w:ascii="宋体" w:hAnsi="宋体"/>
          <w:b/>
          <w:bCs/>
          <w:color w:val="auto"/>
          <w:sz w:val="24"/>
          <w:szCs w:val="24"/>
          <w:highlight w:val="none"/>
        </w:rPr>
        <w:t>并安排专人与采购代理机构及磋商小组联系。</w:t>
      </w:r>
    </w:p>
    <w:p w14:paraId="462E6DBE">
      <w:pPr>
        <w:keepNext/>
        <w:keepLines/>
        <w:spacing w:line="440" w:lineRule="exact"/>
        <w:ind w:firstLine="360" w:firstLineChars="150"/>
        <w:outlineLvl w:val="3"/>
        <w:rPr>
          <w:rFonts w:hint="eastAsia" w:ascii="Arial" w:hAnsi="Arial" w:eastAsia="黑体" w:cs="Arial"/>
          <w:color w:val="auto"/>
          <w:sz w:val="24"/>
          <w:szCs w:val="24"/>
          <w:highlight w:val="none"/>
        </w:rPr>
      </w:pPr>
      <w:r>
        <w:rPr>
          <w:rFonts w:hint="eastAsia" w:ascii="Arial" w:hAnsi="Arial" w:eastAsia="黑体" w:cs="Arial"/>
          <w:color w:val="auto"/>
          <w:sz w:val="24"/>
          <w:szCs w:val="24"/>
          <w:highlight w:val="none"/>
        </w:rPr>
        <w:t>2</w:t>
      </w:r>
      <w:r>
        <w:rPr>
          <w:rFonts w:hint="eastAsia" w:ascii="Arial" w:hAnsi="Arial" w:eastAsia="黑体" w:cs="Arial"/>
          <w:color w:val="auto"/>
          <w:sz w:val="24"/>
          <w:szCs w:val="24"/>
          <w:highlight w:val="none"/>
          <w:lang w:val="en-US" w:eastAsia="zh-CN"/>
        </w:rPr>
        <w:t>9</w:t>
      </w:r>
      <w:r>
        <w:rPr>
          <w:rFonts w:hint="eastAsia" w:ascii="Arial" w:hAnsi="Arial" w:eastAsia="黑体" w:cs="Arial"/>
          <w:color w:val="auto"/>
          <w:sz w:val="24"/>
          <w:szCs w:val="24"/>
          <w:highlight w:val="none"/>
        </w:rPr>
        <w:t>、</w:t>
      </w:r>
      <w:bookmarkEnd w:id="162"/>
      <w:bookmarkEnd w:id="163"/>
      <w:bookmarkEnd w:id="164"/>
      <w:r>
        <w:rPr>
          <w:rFonts w:hint="eastAsia" w:ascii="Arial" w:hAnsi="Arial" w:eastAsia="黑体" w:cs="Arial"/>
          <w:color w:val="auto"/>
          <w:sz w:val="24"/>
          <w:szCs w:val="24"/>
          <w:highlight w:val="none"/>
        </w:rPr>
        <w:t>磋商程序及评审方法和评审标准</w:t>
      </w:r>
    </w:p>
    <w:p w14:paraId="41ABA980">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.1磋商程序</w:t>
      </w:r>
    </w:p>
    <w:p w14:paraId="02EAA4DC">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618F3FB0">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11F32BA0">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 xml:space="preserve"> 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.1.2</w:t>
      </w:r>
      <w:r>
        <w:rPr>
          <w:rFonts w:ascii="宋体" w:hAnsi="宋体"/>
          <w:color w:val="auto"/>
          <w:sz w:val="24"/>
          <w:szCs w:val="24"/>
          <w:highlight w:val="none"/>
        </w:rPr>
        <w:t>磋商文件能够详细列明采购标的的技术、服务要求的，磋商结束后，磋商小组</w:t>
      </w:r>
      <w:r>
        <w:rPr>
          <w:rFonts w:hint="eastAsia" w:ascii="宋体" w:hAnsi="宋体"/>
          <w:color w:val="auto"/>
          <w:sz w:val="24"/>
          <w:szCs w:val="24"/>
          <w:highlight w:val="none"/>
        </w:rPr>
        <w:t>将在苏采云系统向所有</w:t>
      </w:r>
      <w:r>
        <w:rPr>
          <w:rFonts w:ascii="宋体" w:hAnsi="宋体"/>
          <w:color w:val="auto"/>
          <w:sz w:val="24"/>
          <w:szCs w:val="24"/>
          <w:highlight w:val="none"/>
        </w:rPr>
        <w:t>实质性响应的供应商</w:t>
      </w:r>
      <w:r>
        <w:rPr>
          <w:rFonts w:hint="eastAsia" w:ascii="宋体" w:hAnsi="宋体"/>
          <w:color w:val="auto"/>
          <w:sz w:val="24"/>
          <w:szCs w:val="24"/>
          <w:highlight w:val="none"/>
        </w:rPr>
        <w:t>发布“最后报价要求函”及最后报价格式表，</w:t>
      </w:r>
      <w:r>
        <w:rPr>
          <w:rFonts w:ascii="宋体" w:hAnsi="宋体"/>
          <w:color w:val="auto"/>
          <w:sz w:val="24"/>
          <w:szCs w:val="24"/>
          <w:highlight w:val="none"/>
        </w:rPr>
        <w:t>要求所有实质性响应的供应商在规定时间内提交最后报价。</w:t>
      </w:r>
    </w:p>
    <w:p w14:paraId="337195B5">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715A0F72">
      <w:pPr>
        <w:tabs>
          <w:tab w:val="left" w:pos="900"/>
        </w:tabs>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43FCF6DD">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.1.3供应商未在磋商小组规定的时间内在苏采云系统中提交最后报价的视为放弃磋商，其响应文件按无效响应处理，最后报价格式表须加盖CA电子公章,否则视为未提交最后报价。</w:t>
      </w:r>
      <w:r>
        <w:rPr>
          <w:rFonts w:ascii="宋体" w:hAnsi="宋体"/>
          <w:color w:val="auto"/>
          <w:sz w:val="24"/>
          <w:szCs w:val="24"/>
          <w:highlight w:val="none"/>
        </w:rPr>
        <w:t>已提交响应文件的供应商，在提交最后报价之前，可以根据磋商情况退出磋商</w:t>
      </w:r>
      <w:r>
        <w:rPr>
          <w:rFonts w:hint="eastAsia" w:ascii="宋体" w:hAnsi="宋体"/>
          <w:color w:val="auto"/>
          <w:sz w:val="24"/>
          <w:szCs w:val="24"/>
          <w:highlight w:val="none"/>
        </w:rPr>
        <w:t>，并在苏采云系统中提交“退出磋商函”并加盖CA电子公章</w:t>
      </w:r>
      <w:r>
        <w:rPr>
          <w:rFonts w:ascii="宋体" w:hAnsi="宋体"/>
          <w:color w:val="auto"/>
          <w:sz w:val="24"/>
          <w:szCs w:val="24"/>
          <w:highlight w:val="none"/>
        </w:rPr>
        <w:t>。</w:t>
      </w:r>
    </w:p>
    <w:p w14:paraId="375C714C">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.2 评审方法和评审标准</w:t>
      </w:r>
    </w:p>
    <w:p w14:paraId="6A5523DF">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.2.1评审方法。经磋商确定最终采购需求和提交最后报价的供应商后，由磋商小组采用综合评分法对提交最后报价的供应商的响应文件和最后报价进行综合评分。</w:t>
      </w:r>
    </w:p>
    <w:p w14:paraId="7D75B31D">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211E1805">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.2.2评审标准</w:t>
      </w:r>
    </w:p>
    <w:p w14:paraId="5EFCDC7D">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见本磋商文件第五章规定。</w:t>
      </w:r>
    </w:p>
    <w:p w14:paraId="55C65263">
      <w:pPr>
        <w:tabs>
          <w:tab w:val="left" w:pos="900"/>
        </w:tabs>
        <w:spacing w:line="44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.3采购活动终止的情况</w:t>
      </w:r>
    </w:p>
    <w:p w14:paraId="3665E918">
      <w:pPr>
        <w:tabs>
          <w:tab w:val="left" w:pos="900"/>
        </w:tabs>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出现下列情形之一的，本次竞争性磋商采购活动将被终止：</w:t>
      </w:r>
    </w:p>
    <w:p w14:paraId="74A39099">
      <w:pPr>
        <w:tabs>
          <w:tab w:val="left" w:pos="900"/>
        </w:tabs>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.3.1因情况变化，不再符合规定的竞争性磋商采购方式适用情形的。</w:t>
      </w:r>
    </w:p>
    <w:p w14:paraId="54FA1F0B">
      <w:pPr>
        <w:tabs>
          <w:tab w:val="left" w:pos="900"/>
        </w:tabs>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.3.2出现影响采购公正的违法、违规行为的。</w:t>
      </w:r>
    </w:p>
    <w:p w14:paraId="17A131B8">
      <w:pPr>
        <w:tabs>
          <w:tab w:val="left" w:pos="900"/>
        </w:tabs>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.3.3除本磋商文件第二章第2</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.1.2条第三款规定的情形外，在采购过程中符合要求的供应商或者最后报价未超过采购预算的供应商不足3家的。</w:t>
      </w:r>
    </w:p>
    <w:p w14:paraId="37C13B69">
      <w:pPr>
        <w:tabs>
          <w:tab w:val="left" w:pos="900"/>
        </w:tabs>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.3.4在</w:t>
      </w:r>
      <w:r>
        <w:rPr>
          <w:rFonts w:hint="eastAsia" w:ascii="宋体" w:hAnsi="宋体"/>
          <w:color w:val="auto"/>
          <w:sz w:val="24"/>
          <w:szCs w:val="24"/>
          <w:highlight w:val="none"/>
        </w:rPr>
        <w:t>苏采云系统</w:t>
      </w:r>
      <w:r>
        <w:rPr>
          <w:rFonts w:hint="eastAsia" w:ascii="宋体" w:hAnsi="宋体" w:cs="宋体"/>
          <w:color w:val="auto"/>
          <w:sz w:val="24"/>
          <w:szCs w:val="24"/>
          <w:highlight w:val="none"/>
        </w:rPr>
        <w:t>规定时间内成功解密电子响应文件的供应商不足3家的。</w:t>
      </w:r>
    </w:p>
    <w:p w14:paraId="121F0586">
      <w:pPr>
        <w:keepNext/>
        <w:keepLines/>
        <w:spacing w:before="145" w:beforeLines="50" w:after="145" w:afterLines="50" w:line="440" w:lineRule="exact"/>
        <w:ind w:firstLine="373" w:firstLineChars="155"/>
        <w:outlineLvl w:val="2"/>
        <w:rPr>
          <w:rFonts w:hint="eastAsia" w:ascii="Times New Roman" w:hAnsi="Times New Roman"/>
          <w:b/>
          <w:bCs/>
          <w:color w:val="auto"/>
          <w:sz w:val="24"/>
          <w:szCs w:val="24"/>
          <w:highlight w:val="none"/>
        </w:rPr>
      </w:pPr>
      <w:bookmarkStart w:id="165" w:name="_Toc120614219"/>
      <w:bookmarkStart w:id="166" w:name="_Toc513029235"/>
      <w:bookmarkStart w:id="167" w:name="_Toc20823307"/>
      <w:bookmarkStart w:id="168" w:name="_Toc16938551"/>
      <w:r>
        <w:rPr>
          <w:rFonts w:hint="eastAsia" w:ascii="Times New Roman" w:hAnsi="Times New Roman"/>
          <w:b/>
          <w:bCs/>
          <w:color w:val="auto"/>
          <w:sz w:val="24"/>
          <w:szCs w:val="24"/>
          <w:highlight w:val="none"/>
        </w:rPr>
        <w:t>六、</w:t>
      </w:r>
      <w:bookmarkEnd w:id="165"/>
      <w:bookmarkEnd w:id="166"/>
      <w:bookmarkEnd w:id="167"/>
      <w:bookmarkEnd w:id="168"/>
      <w:r>
        <w:rPr>
          <w:rFonts w:hint="eastAsia" w:ascii="Times New Roman" w:hAnsi="Times New Roman"/>
          <w:b/>
          <w:bCs/>
          <w:color w:val="auto"/>
          <w:sz w:val="24"/>
          <w:szCs w:val="24"/>
          <w:highlight w:val="none"/>
        </w:rPr>
        <w:t>成交</w:t>
      </w:r>
    </w:p>
    <w:p w14:paraId="45106841">
      <w:pPr>
        <w:keepNext/>
        <w:keepLines/>
        <w:spacing w:line="440" w:lineRule="exact"/>
        <w:ind w:firstLine="480" w:firstLineChars="200"/>
        <w:outlineLvl w:val="3"/>
        <w:rPr>
          <w:rFonts w:hint="eastAsia" w:ascii="黑体" w:hAnsi="宋体" w:eastAsia="黑体"/>
          <w:bCs/>
          <w:color w:val="auto"/>
          <w:sz w:val="24"/>
          <w:szCs w:val="24"/>
          <w:highlight w:val="none"/>
        </w:rPr>
      </w:pPr>
      <w:bookmarkStart w:id="169" w:name="_Toc513029238"/>
      <w:bookmarkStart w:id="170" w:name="_Toc16938554"/>
      <w:bookmarkStart w:id="171" w:name="_Toc20823310"/>
      <w:r>
        <w:rPr>
          <w:rFonts w:hint="eastAsia" w:ascii="黑体" w:hAnsi="宋体" w:eastAsia="黑体"/>
          <w:bCs/>
          <w:color w:val="auto"/>
          <w:sz w:val="24"/>
          <w:szCs w:val="24"/>
          <w:highlight w:val="none"/>
          <w:lang w:val="en-US" w:eastAsia="zh-CN"/>
        </w:rPr>
        <w:t>30</w:t>
      </w:r>
      <w:r>
        <w:rPr>
          <w:rFonts w:hint="eastAsia" w:ascii="黑体" w:hAnsi="宋体" w:eastAsia="黑体"/>
          <w:bCs/>
          <w:color w:val="auto"/>
          <w:sz w:val="24"/>
          <w:szCs w:val="24"/>
          <w:highlight w:val="none"/>
        </w:rPr>
        <w:t>、</w:t>
      </w:r>
      <w:bookmarkEnd w:id="169"/>
      <w:r>
        <w:rPr>
          <w:rFonts w:hint="eastAsia" w:ascii="黑体" w:hAnsi="宋体" w:eastAsia="黑体"/>
          <w:bCs/>
          <w:color w:val="auto"/>
          <w:sz w:val="24"/>
          <w:szCs w:val="24"/>
          <w:highlight w:val="none"/>
        </w:rPr>
        <w:t>确定</w:t>
      </w:r>
      <w:bookmarkEnd w:id="170"/>
      <w:bookmarkEnd w:id="171"/>
      <w:r>
        <w:rPr>
          <w:rFonts w:hint="eastAsia" w:ascii="黑体" w:hAnsi="宋体" w:eastAsia="黑体"/>
          <w:bCs/>
          <w:color w:val="auto"/>
          <w:sz w:val="24"/>
          <w:szCs w:val="24"/>
          <w:highlight w:val="none"/>
        </w:rPr>
        <w:t>成交单位</w:t>
      </w:r>
    </w:p>
    <w:p w14:paraId="6B7CFA93">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.1磋商小组根据综合评分情况，按照评审得分由高到低顺序推荐3名成交候选供应商，并编写评审报告。符合本磋商文件第二章第2</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.1.2条情形的，可以推荐2名成交候选供应商。评审得分相同的，按照最后报价由低到高的顺序推荐。评审得分且最后报价相同的，按照技术指标优劣顺序推荐。</w:t>
      </w:r>
    </w:p>
    <w:p w14:paraId="16C7AF11">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4CC4F17A">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.2采购人从评审报告提出的成交候选供应商中，按照排序由高到低的原则确定成交供应商。采购人确定成交供应商后，成交结果将在“江苏政府采购网</w:t>
      </w:r>
      <w:r>
        <w:rPr>
          <w:rFonts w:ascii="宋体" w:hAnsi="宋体"/>
          <w:bCs/>
          <w:color w:val="auto"/>
          <w:sz w:val="24"/>
          <w:szCs w:val="24"/>
          <w:highlight w:val="none"/>
        </w:rPr>
        <w:t>”</w:t>
      </w:r>
      <w:r>
        <w:rPr>
          <w:rFonts w:hint="eastAsia" w:ascii="宋体" w:hAnsi="宋体"/>
          <w:bCs/>
          <w:color w:val="auto"/>
          <w:sz w:val="24"/>
          <w:szCs w:val="24"/>
          <w:highlight w:val="none"/>
        </w:rPr>
        <w:t>、“扬中政府采购网”发布成交结果公告，公告期限为1个工作日。</w:t>
      </w:r>
    </w:p>
    <w:p w14:paraId="4BF45254">
      <w:pPr>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.3若有充分证据证明，成交供应商出现下列情况之一的，一经查实，将被取消成交资格：</w:t>
      </w:r>
    </w:p>
    <w:p w14:paraId="22F567D3">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.3.1提供虚假材料谋取成交的。</w:t>
      </w:r>
    </w:p>
    <w:p w14:paraId="0C4ACD80">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.3.2与评审专家、采购人、其他供应商或者采购代理机构工作人员恶意串通的。</w:t>
      </w:r>
    </w:p>
    <w:p w14:paraId="75F0FA1E">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.3.3向评审专家、采购人或采购代理机构工作人员行贿或者提供其他不正当利益的。</w:t>
      </w:r>
    </w:p>
    <w:p w14:paraId="3E417F3E">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.3.4恶意竞争，最后报价明显低于其自身合理成本且又无法提供证明的。</w:t>
      </w:r>
    </w:p>
    <w:p w14:paraId="00EAE92D">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.3.5不满足本磋商文件规定的实质性要求，但在评审过程中又未被磋商小组发现的。</w:t>
      </w:r>
    </w:p>
    <w:p w14:paraId="04CC3977">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.3.6成交后无正当理由拒不与采购人签订政府采购合同或者未按照磋商文件确定的事项签订政府采购合同的。</w:t>
      </w:r>
    </w:p>
    <w:p w14:paraId="38288D90">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.3.7将政府采购合同转包的。</w:t>
      </w:r>
    </w:p>
    <w:p w14:paraId="45BA342A">
      <w:pPr>
        <w:keepNext/>
        <w:keepLines/>
        <w:spacing w:line="440" w:lineRule="exact"/>
        <w:ind w:firstLine="480" w:firstLineChars="200"/>
        <w:outlineLvl w:val="3"/>
        <w:rPr>
          <w:rFonts w:hint="eastAsia" w:ascii="黑体" w:hAnsi="宋体" w:eastAsia="黑体"/>
          <w:bCs/>
          <w:color w:val="auto"/>
          <w:sz w:val="24"/>
          <w:szCs w:val="24"/>
          <w:highlight w:val="none"/>
        </w:rPr>
      </w:pPr>
      <w:bookmarkStart w:id="172" w:name="_Toc200451960"/>
      <w:r>
        <w:rPr>
          <w:rFonts w:hint="eastAsia" w:ascii="黑体" w:hAnsi="宋体" w:eastAsia="黑体"/>
          <w:bCs/>
          <w:color w:val="auto"/>
          <w:sz w:val="24"/>
          <w:szCs w:val="24"/>
          <w:highlight w:val="none"/>
          <w:lang w:val="en-US" w:eastAsia="zh-CN"/>
        </w:rPr>
        <w:t>31</w:t>
      </w:r>
      <w:r>
        <w:rPr>
          <w:rFonts w:hint="eastAsia" w:ascii="黑体" w:hAnsi="宋体" w:eastAsia="黑体"/>
          <w:bCs/>
          <w:color w:val="auto"/>
          <w:sz w:val="24"/>
          <w:szCs w:val="24"/>
          <w:highlight w:val="none"/>
        </w:rPr>
        <w:t>、质疑处理</w:t>
      </w:r>
      <w:bookmarkEnd w:id="172"/>
    </w:p>
    <w:p w14:paraId="24050F56">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7DFC3B5D">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.2供应商认为采购文件、采购过程和采购结果使自己的权益受到损害的，可以在知道或应知其权益受到损害之日起七个工作日内，以书面形式根据下述</w:t>
      </w: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.4条款的规定向采购人或采购代理机构提出质疑。上述应知其权益受到损害之日，是指：</w:t>
      </w:r>
    </w:p>
    <w:p w14:paraId="5DF36197">
      <w:pPr>
        <w:snapToGrid w:val="0"/>
        <w:spacing w:line="440" w:lineRule="exact"/>
        <w:ind w:firstLine="480" w:firstLineChars="200"/>
        <w:rPr>
          <w:rFonts w:hint="eastAsia" w:ascii="Times New Roman" w:hAnsi="宋体" w:cs="宋体"/>
          <w:color w:val="auto"/>
          <w:kern w:val="0"/>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.2.1</w:t>
      </w:r>
      <w:r>
        <w:rPr>
          <w:rFonts w:ascii="Times New Roman" w:hAnsi="宋体" w:cs="宋体"/>
          <w:color w:val="auto"/>
          <w:kern w:val="0"/>
          <w:sz w:val="24"/>
          <w:szCs w:val="24"/>
          <w:highlight w:val="none"/>
        </w:rPr>
        <w:t>对可以质疑的采购文件提出质疑的，为收到采购文件之日或者采购文件公告期限届满之日</w:t>
      </w:r>
      <w:r>
        <w:rPr>
          <w:rFonts w:hint="eastAsia" w:ascii="Times New Roman" w:hAnsi="宋体" w:cs="宋体"/>
          <w:color w:val="auto"/>
          <w:kern w:val="0"/>
          <w:sz w:val="24"/>
          <w:szCs w:val="24"/>
          <w:highlight w:val="none"/>
        </w:rPr>
        <w:t>。</w:t>
      </w:r>
    </w:p>
    <w:p w14:paraId="25C7BB06">
      <w:pPr>
        <w:snapToGrid w:val="0"/>
        <w:spacing w:line="440" w:lineRule="exact"/>
        <w:ind w:firstLine="480" w:firstLineChars="200"/>
        <w:rPr>
          <w:rFonts w:hint="eastAsia" w:ascii="Times New Roman" w:hAnsi="宋体" w:cs="宋体"/>
          <w:color w:val="auto"/>
          <w:kern w:val="0"/>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.2.2</w:t>
      </w:r>
      <w:r>
        <w:rPr>
          <w:rFonts w:ascii="Times New Roman" w:hAnsi="宋体" w:cs="宋体"/>
          <w:color w:val="auto"/>
          <w:kern w:val="0"/>
          <w:sz w:val="24"/>
          <w:szCs w:val="24"/>
          <w:highlight w:val="none"/>
        </w:rPr>
        <w:t>对采购过程提出质疑的，为各采购程序环节结束之日</w:t>
      </w:r>
      <w:r>
        <w:rPr>
          <w:rFonts w:hint="eastAsia" w:ascii="Times New Roman" w:hAnsi="宋体" w:cs="宋体"/>
          <w:color w:val="auto"/>
          <w:kern w:val="0"/>
          <w:sz w:val="24"/>
          <w:szCs w:val="24"/>
          <w:highlight w:val="none"/>
        </w:rPr>
        <w:t>。</w:t>
      </w:r>
    </w:p>
    <w:p w14:paraId="6C3F27A7">
      <w:pPr>
        <w:snapToGrid w:val="0"/>
        <w:spacing w:line="440" w:lineRule="exact"/>
        <w:ind w:firstLine="480" w:firstLineChars="200"/>
        <w:rPr>
          <w:rFonts w:hint="eastAsia" w:ascii="Times New Roman" w:hAnsi="宋体" w:cs="宋体"/>
          <w:color w:val="auto"/>
          <w:kern w:val="0"/>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.2.3</w:t>
      </w:r>
      <w:r>
        <w:rPr>
          <w:rFonts w:ascii="Times New Roman" w:hAnsi="宋体" w:cs="宋体"/>
          <w:color w:val="auto"/>
          <w:kern w:val="0"/>
          <w:sz w:val="24"/>
          <w:szCs w:val="24"/>
          <w:highlight w:val="none"/>
        </w:rPr>
        <w:t>对成交结果提出质疑的，为成交结果公告期限届满之日。</w:t>
      </w:r>
    </w:p>
    <w:p w14:paraId="1E954D53">
      <w:pPr>
        <w:snapToGrid w:val="0"/>
        <w:spacing w:line="440" w:lineRule="exact"/>
        <w:ind w:firstLine="480" w:firstLineChars="200"/>
        <w:rPr>
          <w:rFonts w:hint="eastAsia" w:ascii="Times New Roman" w:hAnsi="宋体" w:cs="宋体"/>
          <w:color w:val="auto"/>
          <w:kern w:val="0"/>
          <w:sz w:val="24"/>
          <w:szCs w:val="24"/>
          <w:highlight w:val="none"/>
        </w:rPr>
      </w:pPr>
      <w:r>
        <w:rPr>
          <w:rFonts w:hint="eastAsia" w:ascii="Times New Roman"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color w:val="auto"/>
          <w:sz w:val="24"/>
          <w:szCs w:val="24"/>
          <w:highlight w:val="none"/>
        </w:rPr>
        <w:t>采购人或采购代理机构</w:t>
      </w:r>
      <w:r>
        <w:rPr>
          <w:rFonts w:hint="eastAsia" w:ascii="Times New Roman" w:hAnsi="宋体" w:cs="宋体"/>
          <w:color w:val="auto"/>
          <w:kern w:val="0"/>
          <w:sz w:val="24"/>
          <w:szCs w:val="24"/>
          <w:highlight w:val="none"/>
        </w:rPr>
        <w:t>将只对供应商第一次质疑作出答复。</w:t>
      </w:r>
    </w:p>
    <w:p w14:paraId="5DA49A31">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.3质疑函必须按照本磋商文件中《质疑函范本》要求的格式和内容进行填写。供应商如组成联合体参加磋商，则《质疑函范本》中要求签字、盖章、加盖公章之处，联合体各方均须按要求签字、盖章、加盖公章。</w:t>
      </w:r>
    </w:p>
    <w:p w14:paraId="689A9635">
      <w:pPr>
        <w:snapToGrid w:val="0"/>
        <w:spacing w:line="44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.4 供应商（含</w:t>
      </w:r>
      <w:r>
        <w:rPr>
          <w:rFonts w:ascii="宋体" w:hAnsi="宋体"/>
          <w:color w:val="auto"/>
          <w:sz w:val="24"/>
          <w:szCs w:val="24"/>
          <w:highlight w:val="none"/>
        </w:rPr>
        <w:t>潜在供应商</w:t>
      </w:r>
      <w:r>
        <w:rPr>
          <w:rFonts w:hint="eastAsia" w:ascii="宋体" w:hAnsi="宋体"/>
          <w:color w:val="auto"/>
          <w:sz w:val="24"/>
          <w:szCs w:val="24"/>
          <w:highlight w:val="none"/>
        </w:rPr>
        <w:t>）对</w:t>
      </w:r>
      <w:r>
        <w:rPr>
          <w:rFonts w:ascii="宋体" w:hAnsi="宋体"/>
          <w:color w:val="auto"/>
          <w:sz w:val="24"/>
          <w:szCs w:val="24"/>
          <w:highlight w:val="none"/>
        </w:rPr>
        <w:t>采购方式、</w:t>
      </w:r>
      <w:r>
        <w:rPr>
          <w:rFonts w:hint="eastAsia" w:ascii="宋体" w:hAnsi="宋体"/>
          <w:color w:val="auto"/>
          <w:sz w:val="24"/>
          <w:szCs w:val="24"/>
          <w:highlight w:val="none"/>
        </w:rPr>
        <w:t>采购</w:t>
      </w:r>
      <w:r>
        <w:rPr>
          <w:rFonts w:ascii="宋体" w:hAnsi="宋体"/>
          <w:color w:val="auto"/>
          <w:sz w:val="24"/>
          <w:szCs w:val="24"/>
          <w:highlight w:val="none"/>
        </w:rPr>
        <w:t>需求、</w:t>
      </w:r>
      <w:r>
        <w:rPr>
          <w:rFonts w:hint="eastAsia" w:ascii="宋体" w:hAnsi="宋体"/>
          <w:color w:val="auto"/>
          <w:sz w:val="24"/>
          <w:szCs w:val="24"/>
          <w:highlight w:val="none"/>
        </w:rPr>
        <w:t>供应商</w:t>
      </w:r>
      <w:r>
        <w:rPr>
          <w:rFonts w:ascii="宋体" w:hAnsi="宋体"/>
          <w:color w:val="auto"/>
          <w:sz w:val="24"/>
          <w:szCs w:val="24"/>
          <w:highlight w:val="none"/>
        </w:rPr>
        <w:t>资格条件、</w:t>
      </w:r>
      <w:r>
        <w:rPr>
          <w:rFonts w:hint="eastAsia" w:ascii="宋体" w:hAnsi="宋体"/>
          <w:color w:val="auto"/>
          <w:sz w:val="24"/>
          <w:szCs w:val="24"/>
          <w:highlight w:val="none"/>
        </w:rPr>
        <w:t>评审方法与评审标准</w:t>
      </w:r>
      <w:r>
        <w:rPr>
          <w:rFonts w:ascii="宋体" w:hAnsi="宋体"/>
          <w:color w:val="auto"/>
          <w:sz w:val="24"/>
          <w:szCs w:val="24"/>
          <w:highlight w:val="none"/>
        </w:rPr>
        <w:t>、合同文本</w:t>
      </w:r>
      <w:r>
        <w:rPr>
          <w:rFonts w:hint="eastAsia" w:ascii="宋体" w:hAnsi="宋体"/>
          <w:color w:val="auto"/>
          <w:sz w:val="24"/>
          <w:szCs w:val="24"/>
          <w:highlight w:val="none"/>
        </w:rPr>
        <w:t>的</w:t>
      </w:r>
      <w:r>
        <w:rPr>
          <w:rFonts w:ascii="宋体" w:hAnsi="宋体"/>
          <w:color w:val="auto"/>
          <w:sz w:val="24"/>
          <w:szCs w:val="24"/>
          <w:highlight w:val="none"/>
        </w:rPr>
        <w:t>询问</w:t>
      </w:r>
      <w:r>
        <w:rPr>
          <w:rFonts w:hint="eastAsia" w:ascii="宋体" w:hAnsi="宋体"/>
          <w:color w:val="auto"/>
          <w:sz w:val="24"/>
          <w:szCs w:val="24"/>
          <w:highlight w:val="none"/>
        </w:rPr>
        <w:t>、质疑</w:t>
      </w:r>
      <w:r>
        <w:rPr>
          <w:rFonts w:ascii="宋体" w:hAnsi="宋体"/>
          <w:color w:val="auto"/>
          <w:sz w:val="24"/>
          <w:szCs w:val="24"/>
          <w:highlight w:val="none"/>
        </w:rPr>
        <w:t>请向采购人提出，由采购人负责答复。</w:t>
      </w:r>
      <w:r>
        <w:rPr>
          <w:rFonts w:hint="eastAsia" w:ascii="宋体" w:hAnsi="宋体"/>
          <w:color w:val="auto"/>
          <w:sz w:val="24"/>
          <w:szCs w:val="24"/>
          <w:highlight w:val="none"/>
        </w:rPr>
        <w:t>供应商对</w:t>
      </w:r>
      <w:r>
        <w:rPr>
          <w:rFonts w:ascii="宋体" w:hAnsi="宋体"/>
          <w:color w:val="auto"/>
          <w:sz w:val="24"/>
          <w:szCs w:val="24"/>
          <w:highlight w:val="none"/>
        </w:rPr>
        <w:t>其他事项</w:t>
      </w:r>
      <w:r>
        <w:rPr>
          <w:rFonts w:hint="eastAsia" w:ascii="宋体" w:hAnsi="宋体"/>
          <w:color w:val="auto"/>
          <w:sz w:val="24"/>
          <w:szCs w:val="24"/>
          <w:highlight w:val="none"/>
        </w:rPr>
        <w:t>的询问</w:t>
      </w:r>
      <w:r>
        <w:rPr>
          <w:rFonts w:ascii="宋体" w:hAnsi="宋体"/>
          <w:color w:val="auto"/>
          <w:sz w:val="24"/>
          <w:szCs w:val="24"/>
          <w:highlight w:val="none"/>
        </w:rPr>
        <w:t>、质疑请向</w:t>
      </w:r>
      <w:r>
        <w:rPr>
          <w:rFonts w:hint="eastAsia" w:ascii="宋体" w:hAnsi="宋体"/>
          <w:color w:val="auto"/>
          <w:sz w:val="24"/>
          <w:szCs w:val="24"/>
          <w:highlight w:val="none"/>
        </w:rPr>
        <w:t>采购代理机构</w:t>
      </w:r>
      <w:r>
        <w:rPr>
          <w:rFonts w:ascii="宋体" w:hAnsi="宋体"/>
          <w:color w:val="auto"/>
          <w:sz w:val="24"/>
          <w:szCs w:val="24"/>
          <w:highlight w:val="none"/>
        </w:rPr>
        <w:t>提出，由</w:t>
      </w:r>
      <w:r>
        <w:rPr>
          <w:rFonts w:hint="eastAsia" w:ascii="宋体" w:hAnsi="宋体"/>
          <w:color w:val="auto"/>
          <w:sz w:val="24"/>
          <w:szCs w:val="24"/>
          <w:highlight w:val="none"/>
        </w:rPr>
        <w:t>采购代理机构负责</w:t>
      </w:r>
      <w:r>
        <w:rPr>
          <w:rFonts w:ascii="宋体" w:hAnsi="宋体"/>
          <w:color w:val="auto"/>
          <w:sz w:val="24"/>
          <w:szCs w:val="24"/>
          <w:highlight w:val="none"/>
        </w:rPr>
        <w:t>答复。</w:t>
      </w:r>
    </w:p>
    <w:p w14:paraId="2AF9F77D">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采购人或采购代理机构只接收以纸质原件形式送达的质疑,建议供应商尽量通过邮寄方式提交质疑（采购人或采购代理机构不接受未填写快递运单的快件）。</w:t>
      </w:r>
    </w:p>
    <w:p w14:paraId="4614A2B2">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采购人质疑接收人及联系方式见本磋商文件第一章。</w:t>
      </w:r>
    </w:p>
    <w:p w14:paraId="6E592D01">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.5 以下情形的质疑不予受理</w:t>
      </w:r>
    </w:p>
    <w:p w14:paraId="2D309BFA">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.5.1 内容不符合《政府采购质疑和投诉办法》第十二条规定的质疑。</w:t>
      </w:r>
    </w:p>
    <w:p w14:paraId="42E4DB9A">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.5.2 超出政府采购法定期限的质疑。</w:t>
      </w:r>
    </w:p>
    <w:p w14:paraId="2ED3E767">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.5.3 以传真、电子邮件等方式递交的非原件形式的质疑。</w:t>
      </w:r>
    </w:p>
    <w:p w14:paraId="06E045AC">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.5.4 未参加磋商活动的供应商或在磋商活动中自身权益未受到损害的供应商所提出的质疑。</w:t>
      </w:r>
    </w:p>
    <w:p w14:paraId="3E3E1B89">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.5.5供应商组成联合体参加磋商，联合体中任何一方或多方未按要求签字、盖章、加盖公章的质疑。</w:t>
      </w:r>
    </w:p>
    <w:p w14:paraId="6426EB32">
      <w:pPr>
        <w:snapToGrid w:val="0"/>
        <w:spacing w:line="440" w:lineRule="exact"/>
        <w:ind w:firstLine="468" w:firstLineChars="195"/>
        <w:rPr>
          <w:rFonts w:hint="eastAsia" w:ascii="宋体" w:hAnsi="宋体"/>
          <w:color w:val="auto"/>
          <w:sz w:val="24"/>
          <w:szCs w:val="24"/>
          <w:highlight w:val="none"/>
        </w:rPr>
      </w:pP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6供应商提出书面质疑必须有理、有据，不得捏造事实、提供虚假材料进行恶意质疑。否则，一经查实，采购人或采购代理机构有权依据政府采购的有关规定，报请政府采购监管部门对该供应商进行相应的行政处罚和记录该供应商的失信信息。</w:t>
      </w:r>
    </w:p>
    <w:p w14:paraId="7858F3B7">
      <w:pPr>
        <w:keepNext/>
        <w:keepLines/>
        <w:spacing w:line="440" w:lineRule="exact"/>
        <w:ind w:firstLine="480" w:firstLineChars="200"/>
        <w:outlineLvl w:val="3"/>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3</w:t>
      </w:r>
      <w:r>
        <w:rPr>
          <w:rFonts w:hint="eastAsia" w:ascii="黑体" w:hAnsi="宋体" w:eastAsia="黑体"/>
          <w:bCs/>
          <w:color w:val="auto"/>
          <w:sz w:val="24"/>
          <w:szCs w:val="24"/>
          <w:highlight w:val="none"/>
          <w:lang w:val="en-US" w:eastAsia="zh-CN"/>
        </w:rPr>
        <w:t>2</w:t>
      </w:r>
      <w:r>
        <w:rPr>
          <w:rFonts w:hint="eastAsia" w:ascii="黑体" w:hAnsi="宋体" w:eastAsia="黑体"/>
          <w:bCs/>
          <w:color w:val="auto"/>
          <w:sz w:val="24"/>
          <w:szCs w:val="24"/>
          <w:highlight w:val="none"/>
        </w:rPr>
        <w:t>、成交通知书</w:t>
      </w:r>
    </w:p>
    <w:p w14:paraId="6266C8C9">
      <w:pPr>
        <w:snapToGrid w:val="0"/>
        <w:spacing w:line="44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lang w:val="en-US" w:eastAsia="zh-CN"/>
        </w:rPr>
        <w:t>2</w:t>
      </w:r>
      <w:r>
        <w:rPr>
          <w:rFonts w:ascii="宋体" w:hAnsi="宋体"/>
          <w:color w:val="auto"/>
          <w:sz w:val="24"/>
          <w:szCs w:val="24"/>
          <w:highlight w:val="none"/>
        </w:rPr>
        <w:t>.1</w:t>
      </w:r>
      <w:r>
        <w:rPr>
          <w:rFonts w:hint="eastAsia" w:ascii="宋体" w:hAnsi="宋体"/>
          <w:color w:val="auto"/>
          <w:sz w:val="24"/>
          <w:szCs w:val="24"/>
          <w:highlight w:val="none"/>
        </w:rPr>
        <w:t>成交结果确定后，采购代理机构将向成交供应商发出成交通知书。</w:t>
      </w:r>
      <w:r>
        <w:rPr>
          <w:rFonts w:hint="eastAsia" w:ascii="宋体" w:hAnsi="宋体" w:cs="宋体"/>
          <w:color w:val="auto"/>
          <w:sz w:val="24"/>
          <w:szCs w:val="24"/>
          <w:highlight w:val="none"/>
        </w:rPr>
        <w:t>请成交供应商在成交结果公告届满之日起30日内,使用CA数字证书登录</w:t>
      </w:r>
      <w:r>
        <w:rPr>
          <w:rFonts w:hint="eastAsia" w:ascii="宋体" w:hAnsi="宋体"/>
          <w:color w:val="auto"/>
          <w:sz w:val="24"/>
          <w:szCs w:val="24"/>
          <w:highlight w:val="none"/>
        </w:rPr>
        <w:t>苏采云系统</w:t>
      </w:r>
      <w:r>
        <w:rPr>
          <w:rFonts w:hint="eastAsia" w:ascii="宋体" w:hAnsi="宋体" w:cs="宋体"/>
          <w:color w:val="auto"/>
          <w:sz w:val="24"/>
          <w:szCs w:val="24"/>
          <w:highlight w:val="none"/>
        </w:rPr>
        <w:t>及时下载成交通知书。因系统存储空间有限，自成交结果公告届满之日起30日后，</w:t>
      </w:r>
      <w:r>
        <w:rPr>
          <w:rFonts w:hint="eastAsia" w:ascii="宋体" w:hAnsi="宋体"/>
          <w:color w:val="auto"/>
          <w:sz w:val="24"/>
          <w:szCs w:val="24"/>
          <w:highlight w:val="none"/>
        </w:rPr>
        <w:t>苏采云系统</w:t>
      </w:r>
      <w:r>
        <w:rPr>
          <w:rFonts w:hint="eastAsia" w:ascii="宋体" w:hAnsi="宋体" w:cs="宋体"/>
          <w:color w:val="auto"/>
          <w:sz w:val="24"/>
          <w:szCs w:val="24"/>
          <w:highlight w:val="none"/>
        </w:rPr>
        <w:t>不再保证提供下载成交通知书服务,因未及时下载而造成的不利后果由成交供应商自行承担。</w:t>
      </w:r>
    </w:p>
    <w:p w14:paraId="72D8D98A">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.2成交通知书将是合同的一个组成部分。对采购人和成交供应商均具有法律效力。成交通知书发出后，采购人改变成交结果的，或者成交供应商放弃成交项目的，应当依法承担法律责任。</w:t>
      </w:r>
    </w:p>
    <w:p w14:paraId="664A3087">
      <w:pPr>
        <w:keepNext/>
        <w:keepLines/>
        <w:spacing w:before="145" w:beforeLines="50" w:after="145" w:afterLines="50" w:line="440" w:lineRule="exact"/>
        <w:ind w:firstLine="373" w:firstLineChars="155"/>
        <w:outlineLvl w:val="2"/>
        <w:rPr>
          <w:rFonts w:hint="eastAsia" w:ascii="Times New Roman" w:hAnsi="Times New Roman"/>
          <w:b/>
          <w:bCs/>
          <w:color w:val="auto"/>
          <w:sz w:val="24"/>
          <w:szCs w:val="24"/>
          <w:highlight w:val="none"/>
        </w:rPr>
      </w:pPr>
      <w:bookmarkStart w:id="173" w:name="_Toc120614220"/>
      <w:bookmarkStart w:id="174" w:name="_Toc513029236"/>
      <w:bookmarkStart w:id="175" w:name="_Toc20823308"/>
      <w:bookmarkStart w:id="176" w:name="_Toc16938552"/>
      <w:r>
        <w:rPr>
          <w:rFonts w:hint="eastAsia" w:ascii="Times New Roman" w:hAnsi="Times New Roman"/>
          <w:b/>
          <w:bCs/>
          <w:color w:val="auto"/>
          <w:sz w:val="24"/>
          <w:szCs w:val="24"/>
          <w:highlight w:val="none"/>
        </w:rPr>
        <w:t>七、授予合同</w:t>
      </w:r>
      <w:bookmarkEnd w:id="173"/>
    </w:p>
    <w:bookmarkEnd w:id="174"/>
    <w:bookmarkEnd w:id="175"/>
    <w:bookmarkEnd w:id="176"/>
    <w:p w14:paraId="77270858">
      <w:pPr>
        <w:keepNext/>
        <w:keepLines/>
        <w:spacing w:line="440" w:lineRule="exact"/>
        <w:ind w:firstLine="480" w:firstLineChars="200"/>
        <w:outlineLvl w:val="3"/>
        <w:rPr>
          <w:rFonts w:hint="eastAsia" w:ascii="黑体" w:hAnsi="宋体" w:eastAsia="黑体"/>
          <w:bCs/>
          <w:color w:val="auto"/>
          <w:sz w:val="24"/>
          <w:szCs w:val="24"/>
          <w:highlight w:val="none"/>
        </w:rPr>
      </w:pPr>
      <w:bookmarkStart w:id="177" w:name="_Toc513029237"/>
      <w:bookmarkStart w:id="178" w:name="_Toc20823309"/>
      <w:bookmarkStart w:id="179" w:name="_Toc16938553"/>
      <w:r>
        <w:rPr>
          <w:rFonts w:hint="eastAsia" w:ascii="黑体" w:hAnsi="宋体" w:eastAsia="黑体"/>
          <w:bCs/>
          <w:color w:val="auto"/>
          <w:sz w:val="24"/>
          <w:szCs w:val="24"/>
          <w:highlight w:val="none"/>
        </w:rPr>
        <w:t>3</w:t>
      </w:r>
      <w:r>
        <w:rPr>
          <w:rFonts w:hint="eastAsia" w:ascii="黑体" w:hAnsi="宋体" w:eastAsia="黑体"/>
          <w:bCs/>
          <w:color w:val="auto"/>
          <w:sz w:val="24"/>
          <w:szCs w:val="24"/>
          <w:highlight w:val="none"/>
          <w:lang w:val="en-US" w:eastAsia="zh-CN"/>
        </w:rPr>
        <w:t>3</w:t>
      </w:r>
      <w:r>
        <w:rPr>
          <w:rFonts w:hint="eastAsia" w:ascii="黑体" w:hAnsi="宋体" w:eastAsia="黑体"/>
          <w:bCs/>
          <w:color w:val="auto"/>
          <w:sz w:val="24"/>
          <w:szCs w:val="24"/>
          <w:highlight w:val="none"/>
        </w:rPr>
        <w:t>. 签订合同</w:t>
      </w:r>
    </w:p>
    <w:p w14:paraId="127EB877">
      <w:pPr>
        <w:snapToGrid w:val="0"/>
        <w:spacing w:line="44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3</w:t>
      </w:r>
      <w:r>
        <w:rPr>
          <w:rFonts w:hint="eastAsia" w:ascii="宋体" w:hAnsi="宋体"/>
          <w:bCs/>
          <w:color w:val="auto"/>
          <w:sz w:val="24"/>
          <w:szCs w:val="24"/>
          <w:highlight w:val="none"/>
          <w:lang w:val="en-US" w:eastAsia="zh-CN"/>
        </w:rPr>
        <w:t>3</w:t>
      </w:r>
      <w:r>
        <w:rPr>
          <w:rFonts w:hint="eastAsia" w:ascii="宋体" w:hAnsi="宋体"/>
          <w:color w:val="auto"/>
          <w:sz w:val="24"/>
          <w:szCs w:val="24"/>
          <w:highlight w:val="none"/>
        </w:rPr>
        <w:t>.l成交供应商应当在成交通知书发出之日起十五日内，按照磋商文件确定的事项与采购人签订政府采购合同。</w:t>
      </w:r>
    </w:p>
    <w:p w14:paraId="35EF6963">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.2磋商文件、成交供应商的响应文件及磋商过程中有关澄清、承诺文件均应作为合同附件。</w:t>
      </w:r>
    </w:p>
    <w:p w14:paraId="5CF7D722">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.3 签订合同后，</w:t>
      </w:r>
      <w:r>
        <w:rPr>
          <w:rFonts w:hint="eastAsia" w:ascii="宋体" w:hAnsi="宋体"/>
          <w:i/>
          <w:color w:val="auto"/>
          <w:sz w:val="24"/>
          <w:szCs w:val="24"/>
          <w:highlight w:val="none"/>
          <w:u w:val="single"/>
        </w:rPr>
        <w:t>成交供应商不得将合同标的进行转包</w:t>
      </w:r>
      <w:r>
        <w:rPr>
          <w:rFonts w:hint="eastAsia" w:ascii="宋体" w:hAnsi="宋体"/>
          <w:color w:val="auto"/>
          <w:sz w:val="24"/>
          <w:szCs w:val="24"/>
          <w:highlight w:val="none"/>
        </w:rPr>
        <w:t>。未经采购人同意，成交供应商也不得采用分包形式履行合同,否则采购人有权终止合同。转包或分包造成采购人损失的，成交供应商应承担相应赔偿责任。</w:t>
      </w:r>
    </w:p>
    <w:p w14:paraId="2EFFC12C">
      <w:pPr>
        <w:keepNext/>
        <w:keepLines/>
        <w:spacing w:line="440" w:lineRule="exact"/>
        <w:ind w:firstLine="480" w:firstLineChars="200"/>
        <w:outlineLvl w:val="3"/>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3</w:t>
      </w:r>
      <w:r>
        <w:rPr>
          <w:rFonts w:hint="eastAsia" w:ascii="黑体" w:hAnsi="宋体" w:eastAsia="黑体"/>
          <w:bCs/>
          <w:color w:val="auto"/>
          <w:sz w:val="24"/>
          <w:szCs w:val="24"/>
          <w:highlight w:val="none"/>
          <w:lang w:val="en-US" w:eastAsia="zh-CN"/>
        </w:rPr>
        <w:t>4</w:t>
      </w:r>
      <w:r>
        <w:rPr>
          <w:rFonts w:hint="eastAsia" w:ascii="黑体" w:hAnsi="宋体" w:eastAsia="黑体"/>
          <w:bCs/>
          <w:color w:val="auto"/>
          <w:sz w:val="24"/>
          <w:szCs w:val="24"/>
          <w:highlight w:val="none"/>
        </w:rPr>
        <w:t>、标的物的追加</w:t>
      </w:r>
    </w:p>
    <w:p w14:paraId="23DBB61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bookmarkEnd w:id="177"/>
    <w:bookmarkEnd w:id="178"/>
    <w:bookmarkEnd w:id="179"/>
    <w:p w14:paraId="35A0B2A0">
      <w:pPr>
        <w:keepNext/>
        <w:keepLines/>
        <w:spacing w:line="440" w:lineRule="exact"/>
        <w:ind w:firstLine="480" w:firstLineChars="200"/>
        <w:outlineLvl w:val="3"/>
        <w:rPr>
          <w:rFonts w:ascii="黑体" w:hAnsi="宋体" w:eastAsia="黑体"/>
          <w:bCs/>
          <w:color w:val="auto"/>
          <w:sz w:val="24"/>
          <w:szCs w:val="24"/>
          <w:highlight w:val="none"/>
        </w:rPr>
      </w:pPr>
      <w:r>
        <w:rPr>
          <w:rFonts w:hint="eastAsia" w:ascii="黑体" w:hAnsi="宋体" w:eastAsia="黑体"/>
          <w:bCs/>
          <w:color w:val="auto"/>
          <w:sz w:val="24"/>
          <w:szCs w:val="24"/>
          <w:highlight w:val="none"/>
        </w:rPr>
        <w:t>3</w:t>
      </w:r>
      <w:r>
        <w:rPr>
          <w:rFonts w:hint="eastAsia" w:ascii="黑体" w:hAnsi="宋体" w:eastAsia="黑体"/>
          <w:bCs/>
          <w:color w:val="auto"/>
          <w:sz w:val="24"/>
          <w:szCs w:val="24"/>
          <w:highlight w:val="none"/>
          <w:lang w:val="en-US" w:eastAsia="zh-CN"/>
        </w:rPr>
        <w:t>5</w:t>
      </w:r>
      <w:r>
        <w:rPr>
          <w:rFonts w:hint="eastAsia" w:ascii="黑体" w:hAnsi="宋体" w:eastAsia="黑体"/>
          <w:bCs/>
          <w:color w:val="auto"/>
          <w:sz w:val="24"/>
          <w:szCs w:val="24"/>
          <w:highlight w:val="none"/>
        </w:rPr>
        <w:t>、政府采购履约资金扶持政策</w:t>
      </w:r>
    </w:p>
    <w:p w14:paraId="780EE479">
      <w:pPr>
        <w:spacing w:line="440" w:lineRule="exact"/>
        <w:ind w:firstLine="420" w:firstLineChars="175"/>
        <w:rPr>
          <w:rFonts w:hint="eastAsia"/>
          <w:color w:val="auto"/>
          <w:sz w:val="24"/>
          <w:szCs w:val="24"/>
          <w:highlight w:val="none"/>
        </w:rPr>
      </w:pPr>
      <w:r>
        <w:rPr>
          <w:rFonts w:hint="eastAsia" w:ascii="宋体" w:hAnsi="宋体"/>
          <w:bCs/>
          <w:color w:val="auto"/>
          <w:sz w:val="24"/>
          <w:szCs w:val="24"/>
          <w:highlight w:val="none"/>
        </w:rPr>
        <w:t>成交供应商可凭政府采购合同办理融资贷款，详情</w:t>
      </w:r>
      <w:r>
        <w:rPr>
          <w:rFonts w:hint="eastAsia" w:ascii="宋体" w:hAnsi="宋体"/>
          <w:color w:val="auto"/>
          <w:sz w:val="24"/>
          <w:szCs w:val="24"/>
          <w:highlight w:val="none"/>
        </w:rPr>
        <w:t>请查阅</w:t>
      </w:r>
      <w:r>
        <w:rPr>
          <w:rFonts w:hint="eastAsia" w:ascii="宋体" w:hAnsi="宋体" w:eastAsia="宋体" w:cs="Times New Roman"/>
          <w:color w:val="auto"/>
          <w:sz w:val="24"/>
          <w:highlight w:val="none"/>
          <w:lang w:val="en-US" w:eastAsia="zh-CN"/>
        </w:rPr>
        <w:t>江苏政府采购</w:t>
      </w:r>
      <w:r>
        <w:rPr>
          <w:rFonts w:hint="eastAsia" w:ascii="宋体" w:hAnsi="宋体" w:eastAsia="宋体" w:cs="Times New Roman"/>
          <w:color w:val="auto"/>
          <w:sz w:val="24"/>
          <w:highlight w:val="none"/>
        </w:rPr>
        <w:t>网站</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政采贷</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栏目</w:t>
      </w:r>
      <w:r>
        <w:rPr>
          <w:rFonts w:hint="eastAsia" w:ascii="宋体" w:hAnsi="宋体" w:eastAsia="宋体" w:cs="Times New Roman"/>
          <w:color w:val="auto"/>
          <w:sz w:val="24"/>
          <w:highlight w:val="none"/>
        </w:rPr>
        <w:t>。</w:t>
      </w:r>
    </w:p>
    <w:p w14:paraId="5D508260">
      <w:pPr>
        <w:pStyle w:val="28"/>
        <w:rPr>
          <w:rFonts w:hint="eastAsia"/>
          <w:color w:val="000000"/>
          <w:sz w:val="24"/>
          <w:szCs w:val="24"/>
          <w:highlight w:val="none"/>
        </w:rPr>
      </w:pPr>
    </w:p>
    <w:p w14:paraId="64CE2170">
      <w:pPr>
        <w:pStyle w:val="28"/>
        <w:rPr>
          <w:rFonts w:hint="eastAsia"/>
          <w:color w:val="000000"/>
          <w:sz w:val="24"/>
          <w:szCs w:val="24"/>
          <w:highlight w:val="none"/>
        </w:rPr>
      </w:pPr>
    </w:p>
    <w:p w14:paraId="7C6F4A74">
      <w:pPr>
        <w:pStyle w:val="28"/>
        <w:rPr>
          <w:rFonts w:hint="eastAsia"/>
          <w:color w:val="000000"/>
          <w:sz w:val="24"/>
          <w:szCs w:val="24"/>
          <w:highlight w:val="none"/>
        </w:rPr>
      </w:pPr>
    </w:p>
    <w:p w14:paraId="0E944534">
      <w:pPr>
        <w:pStyle w:val="28"/>
        <w:rPr>
          <w:rFonts w:hint="eastAsia"/>
          <w:color w:val="000000"/>
          <w:sz w:val="24"/>
          <w:szCs w:val="24"/>
          <w:highlight w:val="none"/>
        </w:rPr>
      </w:pPr>
    </w:p>
    <w:p w14:paraId="1250FA8F">
      <w:pPr>
        <w:pStyle w:val="28"/>
        <w:rPr>
          <w:rFonts w:hint="eastAsia"/>
          <w:color w:val="000000"/>
          <w:sz w:val="24"/>
          <w:szCs w:val="24"/>
          <w:highlight w:val="none"/>
        </w:rPr>
      </w:pPr>
    </w:p>
    <w:p w14:paraId="379D6F99">
      <w:pPr>
        <w:pStyle w:val="28"/>
        <w:rPr>
          <w:rFonts w:hint="eastAsia"/>
          <w:color w:val="000000"/>
          <w:sz w:val="24"/>
          <w:szCs w:val="24"/>
          <w:highlight w:val="none"/>
        </w:rPr>
      </w:pPr>
    </w:p>
    <w:p w14:paraId="5DB628F3">
      <w:pPr>
        <w:pStyle w:val="28"/>
        <w:rPr>
          <w:rFonts w:hint="eastAsia"/>
          <w:color w:val="000000"/>
          <w:sz w:val="24"/>
          <w:szCs w:val="24"/>
          <w:highlight w:val="none"/>
        </w:rPr>
      </w:pPr>
    </w:p>
    <w:p w14:paraId="21A44D16">
      <w:pPr>
        <w:pStyle w:val="28"/>
        <w:rPr>
          <w:rFonts w:hint="eastAsia"/>
          <w:color w:val="000000"/>
          <w:sz w:val="24"/>
          <w:szCs w:val="24"/>
          <w:highlight w:val="none"/>
        </w:rPr>
      </w:pPr>
    </w:p>
    <w:p w14:paraId="226D8071">
      <w:pPr>
        <w:pStyle w:val="28"/>
        <w:rPr>
          <w:rFonts w:hint="eastAsia"/>
          <w:color w:val="000000"/>
          <w:sz w:val="24"/>
          <w:szCs w:val="24"/>
          <w:highlight w:val="none"/>
        </w:rPr>
      </w:pPr>
    </w:p>
    <w:p w14:paraId="01CD5E60">
      <w:pPr>
        <w:pStyle w:val="28"/>
        <w:rPr>
          <w:rFonts w:hint="eastAsia"/>
          <w:color w:val="000000"/>
          <w:sz w:val="24"/>
          <w:szCs w:val="24"/>
          <w:highlight w:val="none"/>
        </w:rPr>
      </w:pPr>
    </w:p>
    <w:p w14:paraId="67EA0A51">
      <w:pPr>
        <w:pStyle w:val="28"/>
        <w:rPr>
          <w:rFonts w:hint="eastAsia"/>
          <w:color w:val="000000"/>
          <w:sz w:val="24"/>
          <w:szCs w:val="24"/>
          <w:highlight w:val="none"/>
        </w:rPr>
      </w:pPr>
    </w:p>
    <w:p w14:paraId="0F057FF3">
      <w:pPr>
        <w:pStyle w:val="28"/>
        <w:rPr>
          <w:rFonts w:hint="eastAsia"/>
          <w:color w:val="000000"/>
          <w:sz w:val="24"/>
          <w:szCs w:val="24"/>
          <w:highlight w:val="none"/>
        </w:rPr>
      </w:pPr>
    </w:p>
    <w:p w14:paraId="1969CA82">
      <w:pPr>
        <w:pStyle w:val="28"/>
        <w:rPr>
          <w:rFonts w:hint="eastAsia"/>
          <w:color w:val="000000"/>
          <w:sz w:val="24"/>
          <w:szCs w:val="24"/>
          <w:highlight w:val="none"/>
        </w:rPr>
      </w:pPr>
    </w:p>
    <w:p w14:paraId="5DA8E5AC">
      <w:pPr>
        <w:pStyle w:val="28"/>
        <w:rPr>
          <w:rFonts w:hint="eastAsia"/>
          <w:color w:val="000000"/>
          <w:sz w:val="24"/>
          <w:szCs w:val="24"/>
          <w:highlight w:val="none"/>
        </w:rPr>
      </w:pPr>
    </w:p>
    <w:p w14:paraId="6CE7BF1A">
      <w:pPr>
        <w:pStyle w:val="3"/>
        <w:numPr>
          <w:ilvl w:val="0"/>
          <w:numId w:val="0"/>
        </w:numPr>
        <w:spacing w:line="360" w:lineRule="auto"/>
        <w:jc w:val="center"/>
        <w:outlineLvl w:val="0"/>
        <w:rPr>
          <w:rFonts w:hint="eastAsia" w:ascii="仿宋" w:hAnsi="仿宋" w:eastAsia="仿宋" w:cs="Times New Roman"/>
          <w:b/>
          <w:color w:val="auto"/>
          <w:sz w:val="44"/>
          <w:szCs w:val="44"/>
          <w:lang w:val="en-US" w:eastAsia="zh-CN"/>
        </w:rPr>
      </w:pPr>
      <w:r>
        <w:rPr>
          <w:rFonts w:hint="eastAsia" w:ascii="仿宋" w:hAnsi="仿宋" w:eastAsia="仿宋" w:cs="Times New Roman"/>
          <w:b/>
          <w:color w:val="auto"/>
          <w:sz w:val="44"/>
          <w:szCs w:val="44"/>
          <w:lang w:val="en-US" w:eastAsia="zh-CN"/>
        </w:rPr>
        <w:t>第三章  合同</w:t>
      </w:r>
      <w:bookmarkEnd w:id="56"/>
      <w:bookmarkEnd w:id="57"/>
      <w:bookmarkEnd w:id="58"/>
      <w:bookmarkEnd w:id="59"/>
      <w:bookmarkEnd w:id="60"/>
      <w:r>
        <w:rPr>
          <w:rFonts w:hint="eastAsia" w:ascii="仿宋" w:hAnsi="仿宋" w:eastAsia="仿宋" w:cs="Times New Roman"/>
          <w:b/>
          <w:color w:val="auto"/>
          <w:sz w:val="44"/>
          <w:szCs w:val="44"/>
          <w:lang w:val="en-US" w:eastAsia="zh-CN"/>
        </w:rPr>
        <w:t>文本</w:t>
      </w:r>
    </w:p>
    <w:p w14:paraId="1CD9CCF3">
      <w:pPr>
        <w:spacing w:line="440" w:lineRule="exact"/>
        <w:ind w:firstLine="480"/>
        <w:rPr>
          <w:rFonts w:hint="eastAsia" w:ascii="宋体" w:hAnsi="宋体"/>
          <w:bCs/>
          <w:color w:val="000000"/>
          <w:sz w:val="24"/>
          <w:highlight w:val="none"/>
        </w:rPr>
      </w:pPr>
      <w:bookmarkStart w:id="180" w:name="_Toc16938559"/>
      <w:bookmarkStart w:id="181" w:name="_Toc513029243"/>
      <w:bookmarkStart w:id="182" w:name="_Toc20823315"/>
      <w:r>
        <w:rPr>
          <w:rFonts w:hint="eastAsia" w:ascii="宋体" w:hAnsi="宋体"/>
          <w:bCs/>
          <w:color w:val="000000"/>
          <w:sz w:val="24"/>
          <w:highlight w:val="none"/>
        </w:rPr>
        <w:t>以下为中标后签定本项目合同的通用条款，中标人不得提出实质性的修改。</w:t>
      </w:r>
    </w:p>
    <w:p w14:paraId="674D122C">
      <w:pPr>
        <w:pStyle w:val="357"/>
        <w:widowControl w:val="0"/>
        <w:spacing w:before="0" w:beforeAutospacing="0" w:after="0" w:afterAutospacing="0"/>
        <w:jc w:val="both"/>
        <w:rPr>
          <w:rFonts w:hint="default" w:ascii="仿宋_GB2312" w:eastAsia="仿宋_GB2312" w:cs="仿宋_GB2312"/>
          <w:b/>
          <w:bCs/>
          <w:color w:val="000000"/>
          <w:position w:val="120"/>
          <w:highlight w:val="none"/>
          <w:lang w:val="en-US" w:eastAsia="zh-CN"/>
        </w:rPr>
      </w:pPr>
      <w:r>
        <w:rPr>
          <w:rFonts w:ascii="Times New Roman" w:hAnsi="Times New Roman" w:eastAsia="宋体" w:cs="Times New Roman"/>
          <w:color w:val="000000"/>
          <w:highlight w:val="none"/>
          <w:lang w:bidi="ar"/>
        </w:rPr>
        <mc:AlternateContent>
          <mc:Choice Requires="wps">
            <w:drawing>
              <wp:anchor distT="0" distB="0" distL="114300" distR="114300" simplePos="0" relativeHeight="251660288" behindDoc="0" locked="0" layoutInCell="1" allowOverlap="1">
                <wp:simplePos x="0" y="0"/>
                <wp:positionH relativeFrom="column">
                  <wp:posOffset>3642360</wp:posOffset>
                </wp:positionH>
                <wp:positionV relativeFrom="paragraph">
                  <wp:posOffset>-13335</wp:posOffset>
                </wp:positionV>
                <wp:extent cx="1952625" cy="647700"/>
                <wp:effectExtent l="4445" t="4445" r="5080" b="14605"/>
                <wp:wrapNone/>
                <wp:docPr id="9" name="文本框 9"/>
                <wp:cNvGraphicFramePr/>
                <a:graphic xmlns:a="http://schemas.openxmlformats.org/drawingml/2006/main">
                  <a:graphicData uri="http://schemas.microsoft.com/office/word/2010/wordprocessingShape">
                    <wps:wsp>
                      <wps:cNvSpPr txBox="1"/>
                      <wps:spPr bwMode="auto">
                        <a:xfrm>
                          <a:off x="0" y="0"/>
                          <a:ext cx="1952625" cy="647700"/>
                        </a:xfrm>
                        <a:prstGeom prst="rect">
                          <a:avLst/>
                        </a:prstGeom>
                        <a:solidFill>
                          <a:srgbClr val="FFFFFF"/>
                        </a:solidFill>
                        <a:ln>
                          <a:solidFill>
                            <a:srgbClr val="000000"/>
                          </a:solidFill>
                        </a:ln>
                        <a:effectLst/>
                      </wps:spPr>
                      <wps:txbx>
                        <w:txbxContent>
                          <w:p w14:paraId="35E12ECF">
                            <w:pPr>
                              <w:pStyle w:val="357"/>
                              <w:widowControl w:val="0"/>
                              <w:spacing w:before="0" w:beforeAutospacing="0" w:after="0" w:afterAutospacing="0"/>
                              <w:jc w:val="center"/>
                              <w:rPr>
                                <w:rFonts w:hint="eastAsia" w:ascii="宋体" w:hAnsi="宋体" w:eastAsia="宋体" w:cs="宋体"/>
                              </w:rPr>
                            </w:pPr>
                            <w:r>
                              <w:rPr>
                                <w:rFonts w:hint="eastAsia" w:ascii="宋体" w:hAnsi="宋体" w:eastAsia="宋体" w:cs="宋体"/>
                                <w:lang w:bidi="ar"/>
                              </w:rPr>
                              <w:t>合同备案章</w:t>
                            </w:r>
                          </w:p>
                          <w:p w14:paraId="3E6EA22F">
                            <w:pPr>
                              <w:pStyle w:val="357"/>
                              <w:widowControl w:val="0"/>
                              <w:spacing w:before="0" w:beforeAutospacing="0" w:after="0" w:afterAutospacing="0"/>
                              <w:jc w:val="center"/>
                              <w:rPr>
                                <w:rFonts w:hint="eastAsia" w:ascii="仿宋_GB2312" w:hAnsi="Cambria" w:eastAsia="仿宋_GB2312" w:cs="仿宋_GB2312"/>
                              </w:rPr>
                            </w:pPr>
                          </w:p>
                          <w:p w14:paraId="6F09680B"/>
                        </w:txbxContent>
                      </wps:txbx>
                      <wps:bodyPr vert="horz" wrap="square" anchor="t" anchorCtr="0" upright="1"/>
                    </wps:wsp>
                  </a:graphicData>
                </a:graphic>
              </wp:anchor>
            </w:drawing>
          </mc:Choice>
          <mc:Fallback>
            <w:pict>
              <v:shape id="_x0000_s1026" o:spid="_x0000_s1026" o:spt="202" type="#_x0000_t202" style="position:absolute;left:0pt;margin-left:286.8pt;margin-top:-1.05pt;height:51pt;width:153.75pt;z-index:251660288;mso-width-relative:page;mso-height-relative:page;" fillcolor="#FFFFFF" filled="t" stroked="t" coordsize="21600,21600" o:gfxdata="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w7+k2QAAAAkBAAAPAAAAAAAAAAEAIAAAACIAAABkcnMvZG93bnJldi54bWxQSwEC&#10;FAAUAAAACACHTuJA0kzVSvMBAADvAwAADgAAAAAAAAABACAAAAAoAQAAZHJzL2Uyb0RvYy54bWxQ&#10;SwUGAAAAAAYABgBZAQAAjQUAAAAA&#10;">
                <v:fill on="t" focussize="0,0"/>
                <v:stroke color="#000000" joinstyle="round"/>
                <v:imagedata o:title=""/>
                <o:lock v:ext="edit" aspectratio="f"/>
                <v:textbox>
                  <w:txbxContent>
                    <w:p w14:paraId="35E12ECF">
                      <w:pPr>
                        <w:pStyle w:val="357"/>
                        <w:widowControl w:val="0"/>
                        <w:spacing w:before="0" w:beforeAutospacing="0" w:after="0" w:afterAutospacing="0"/>
                        <w:jc w:val="center"/>
                        <w:rPr>
                          <w:rFonts w:hint="eastAsia" w:ascii="宋体" w:hAnsi="宋体" w:eastAsia="宋体" w:cs="宋体"/>
                        </w:rPr>
                      </w:pPr>
                      <w:r>
                        <w:rPr>
                          <w:rFonts w:hint="eastAsia" w:ascii="宋体" w:hAnsi="宋体" w:eastAsia="宋体" w:cs="宋体"/>
                          <w:lang w:bidi="ar"/>
                        </w:rPr>
                        <w:t>合同备案章</w:t>
                      </w:r>
                    </w:p>
                    <w:p w14:paraId="3E6EA22F">
                      <w:pPr>
                        <w:pStyle w:val="357"/>
                        <w:widowControl w:val="0"/>
                        <w:spacing w:before="0" w:beforeAutospacing="0" w:after="0" w:afterAutospacing="0"/>
                        <w:jc w:val="center"/>
                        <w:rPr>
                          <w:rFonts w:hint="eastAsia" w:ascii="仿宋_GB2312" w:hAnsi="Cambria" w:eastAsia="仿宋_GB2312" w:cs="仿宋_GB2312"/>
                        </w:rPr>
                      </w:pPr>
                    </w:p>
                    <w:p w14:paraId="6F09680B"/>
                  </w:txbxContent>
                </v:textbox>
              </v:shape>
            </w:pict>
          </mc:Fallback>
        </mc:AlternateContent>
      </w:r>
      <w:r>
        <w:rPr>
          <w:rFonts w:hint="eastAsia" w:ascii="仿宋_GB2312" w:eastAsia="仿宋_GB2312" w:cs="仿宋_GB2312"/>
          <w:b/>
          <w:bCs/>
          <w:color w:val="000000"/>
          <w:position w:val="120"/>
          <w:highlight w:val="none"/>
        </w:rPr>
        <w:t>合同编号：</w:t>
      </w:r>
      <w:r>
        <w:rPr>
          <w:rFonts w:eastAsia="仿宋_GB2312"/>
          <w:b/>
          <w:bCs/>
          <w:color w:val="auto"/>
          <w:position w:val="120"/>
          <w:highlight w:val="none"/>
        </w:rPr>
        <w:t>Y</w:t>
      </w:r>
      <w:r>
        <w:rPr>
          <w:b/>
          <w:bCs/>
          <w:color w:val="auto"/>
          <w:position w:val="120"/>
          <w:highlight w:val="none"/>
        </w:rPr>
        <w:t>Z</w:t>
      </w:r>
      <w:r>
        <w:rPr>
          <w:rFonts w:eastAsia="仿宋_GB2312"/>
          <w:b/>
          <w:bCs/>
          <w:color w:val="auto"/>
          <w:position w:val="120"/>
          <w:highlight w:val="none"/>
        </w:rPr>
        <w:t>ZC</w:t>
      </w:r>
      <w:r>
        <w:rPr>
          <w:rFonts w:hint="eastAsia" w:eastAsia="仿宋_GB2312"/>
          <w:b/>
          <w:bCs/>
          <w:color w:val="auto"/>
          <w:position w:val="120"/>
          <w:highlight w:val="none"/>
          <w:lang w:val="en-US" w:eastAsia="zh-CN"/>
        </w:rPr>
        <w:t>SK</w:t>
      </w:r>
      <w:r>
        <w:rPr>
          <w:rFonts w:eastAsia="仿宋_GB2312"/>
          <w:b/>
          <w:bCs/>
          <w:color w:val="auto"/>
          <w:position w:val="120"/>
          <w:highlight w:val="none"/>
        </w:rPr>
        <w:t>202</w:t>
      </w:r>
      <w:r>
        <w:rPr>
          <w:rFonts w:hint="eastAsia" w:eastAsia="宋体"/>
          <w:b/>
          <w:bCs/>
          <w:color w:val="auto"/>
          <w:position w:val="120"/>
          <w:highlight w:val="none"/>
          <w:lang w:val="en-US" w:eastAsia="zh-CN"/>
        </w:rPr>
        <w:t>4</w:t>
      </w:r>
      <w:r>
        <w:rPr>
          <w:rFonts w:eastAsia="仿宋_GB2312"/>
          <w:b/>
          <w:bCs/>
          <w:color w:val="auto"/>
          <w:position w:val="120"/>
          <w:highlight w:val="none"/>
        </w:rPr>
        <w:t>-</w:t>
      </w:r>
      <w:r>
        <w:rPr>
          <w:rFonts w:hint="eastAsia" w:eastAsia="宋体"/>
          <w:b/>
          <w:bCs/>
          <w:color w:val="auto"/>
          <w:position w:val="120"/>
          <w:highlight w:val="none"/>
          <w:lang w:val="en-US" w:eastAsia="zh-CN"/>
        </w:rPr>
        <w:t>04</w:t>
      </w:r>
    </w:p>
    <w:p w14:paraId="348F6734">
      <w:pPr>
        <w:pStyle w:val="357"/>
        <w:widowControl w:val="0"/>
        <w:spacing w:before="725" w:beforeAutospacing="0" w:after="1450" w:afterAutospacing="0"/>
        <w:jc w:val="center"/>
        <w:rPr>
          <w:rFonts w:hint="eastAsia" w:ascii="黑体" w:eastAsia="黑体" w:cs="黑体"/>
          <w:b/>
          <w:bCs/>
          <w:color w:val="000000"/>
          <w:sz w:val="72"/>
          <w:szCs w:val="72"/>
          <w:highlight w:val="none"/>
          <w:lang w:bidi="ar"/>
        </w:rPr>
      </w:pPr>
      <w:r>
        <w:rPr>
          <w:rFonts w:hint="eastAsia" w:ascii="黑体" w:eastAsia="黑体" w:cs="黑体"/>
          <w:b/>
          <w:bCs/>
          <w:color w:val="000000"/>
          <w:sz w:val="72"/>
          <w:szCs w:val="72"/>
          <w:highlight w:val="none"/>
          <w:lang w:bidi="ar"/>
        </w:rPr>
        <w:t>扬中市政府合同</w:t>
      </w:r>
    </w:p>
    <w:p w14:paraId="6C4C3EC5">
      <w:pPr>
        <w:pStyle w:val="357"/>
        <w:widowControl w:val="0"/>
        <w:spacing w:before="0" w:beforeAutospacing="0" w:after="0" w:afterAutospacing="0" w:line="840" w:lineRule="auto"/>
        <w:ind w:firstLine="960"/>
        <w:jc w:val="both"/>
        <w:rPr>
          <w:rFonts w:hint="eastAsia" w:ascii="黑体" w:eastAsia="黑体" w:cs="黑体"/>
          <w:color w:val="000000"/>
          <w:sz w:val="32"/>
          <w:szCs w:val="32"/>
          <w:highlight w:val="none"/>
          <w:u w:val="single"/>
        </w:rPr>
      </w:pPr>
      <w:r>
        <w:rPr>
          <w:rFonts w:hint="eastAsia" w:ascii="黑体" w:eastAsia="黑体" w:cs="黑体"/>
          <w:color w:val="000000"/>
          <w:sz w:val="32"/>
          <w:szCs w:val="32"/>
          <w:highlight w:val="none"/>
          <w:lang w:bidi="ar"/>
        </w:rPr>
        <w:t>项目名称：</w:t>
      </w:r>
      <w:r>
        <w:rPr>
          <w:rFonts w:hint="eastAsia" w:ascii="黑体" w:eastAsia="黑体" w:cs="黑体"/>
          <w:color w:val="000000"/>
          <w:sz w:val="32"/>
          <w:szCs w:val="32"/>
          <w:highlight w:val="none"/>
          <w:u w:val="single"/>
          <w:lang w:bidi="ar"/>
        </w:rPr>
        <w:t xml:space="preserve">                                 </w:t>
      </w:r>
    </w:p>
    <w:p w14:paraId="447105BE">
      <w:pPr>
        <w:pStyle w:val="357"/>
        <w:widowControl w:val="0"/>
        <w:spacing w:before="0" w:beforeAutospacing="0" w:after="0" w:afterAutospacing="0" w:line="840" w:lineRule="auto"/>
        <w:ind w:firstLine="960"/>
        <w:rPr>
          <w:rFonts w:hint="eastAsia" w:ascii="黑体" w:eastAsia="黑体" w:cs="黑体"/>
          <w:color w:val="000000"/>
          <w:sz w:val="32"/>
          <w:szCs w:val="32"/>
          <w:highlight w:val="none"/>
        </w:rPr>
      </w:pPr>
      <w:r>
        <w:rPr>
          <w:rFonts w:hint="eastAsia" w:ascii="黑体" w:eastAsia="黑体" w:cs="黑体"/>
          <w:color w:val="000000"/>
          <w:sz w:val="32"/>
          <w:szCs w:val="32"/>
          <w:highlight w:val="none"/>
          <w:lang w:bidi="ar"/>
        </w:rPr>
        <w:t>项目编号：</w:t>
      </w:r>
      <w:r>
        <w:rPr>
          <w:rFonts w:hint="eastAsia" w:ascii="黑体" w:eastAsia="黑体" w:cs="黑体"/>
          <w:color w:val="000000"/>
          <w:sz w:val="32"/>
          <w:szCs w:val="32"/>
          <w:highlight w:val="none"/>
          <w:u w:val="single"/>
          <w:lang w:bidi="ar"/>
        </w:rPr>
        <w:t xml:space="preserve">                                  </w:t>
      </w:r>
    </w:p>
    <w:p w14:paraId="464FAA70">
      <w:pPr>
        <w:pStyle w:val="357"/>
        <w:widowControl w:val="0"/>
        <w:spacing w:before="0" w:beforeAutospacing="0" w:after="0" w:afterAutospacing="0" w:line="840" w:lineRule="auto"/>
        <w:ind w:firstLine="960"/>
        <w:rPr>
          <w:rFonts w:hint="eastAsia" w:ascii="黑体" w:eastAsia="黑体" w:cs="黑体"/>
          <w:color w:val="000000"/>
          <w:sz w:val="32"/>
          <w:szCs w:val="32"/>
          <w:highlight w:val="none"/>
        </w:rPr>
      </w:pPr>
      <w:r>
        <w:rPr>
          <w:rFonts w:hint="eastAsia" w:ascii="黑体" w:eastAsia="黑体" w:cs="黑体"/>
          <w:color w:val="000000"/>
          <w:sz w:val="32"/>
          <w:szCs w:val="32"/>
          <w:highlight w:val="none"/>
          <w:lang w:eastAsia="zh-CN" w:bidi="ar"/>
        </w:rPr>
        <w:t>采购人</w:t>
      </w:r>
      <w:r>
        <w:rPr>
          <w:rFonts w:hint="eastAsia" w:ascii="黑体" w:eastAsia="黑体" w:cs="黑体"/>
          <w:color w:val="000000"/>
          <w:sz w:val="32"/>
          <w:szCs w:val="32"/>
          <w:highlight w:val="none"/>
          <w:lang w:bidi="ar"/>
        </w:rPr>
        <w:t>：</w:t>
      </w:r>
      <w:r>
        <w:rPr>
          <w:rFonts w:hint="eastAsia" w:ascii="黑体" w:eastAsia="黑体" w:cs="黑体"/>
          <w:color w:val="000000"/>
          <w:sz w:val="32"/>
          <w:szCs w:val="32"/>
          <w:highlight w:val="none"/>
          <w:u w:val="single"/>
          <w:lang w:bidi="ar"/>
        </w:rPr>
        <w:t xml:space="preserve">                                  </w:t>
      </w:r>
    </w:p>
    <w:p w14:paraId="776E4D5D">
      <w:pPr>
        <w:pStyle w:val="357"/>
        <w:widowControl w:val="0"/>
        <w:spacing w:before="0" w:beforeAutospacing="0" w:after="0" w:afterAutospacing="0" w:line="840" w:lineRule="auto"/>
        <w:ind w:firstLine="960"/>
        <w:rPr>
          <w:rFonts w:hint="eastAsia" w:ascii="黑体" w:eastAsia="黑体" w:cs="黑体"/>
          <w:color w:val="000000"/>
          <w:sz w:val="32"/>
          <w:szCs w:val="32"/>
          <w:highlight w:val="none"/>
        </w:rPr>
      </w:pPr>
      <w:r>
        <w:rPr>
          <w:rFonts w:hint="eastAsia" w:ascii="黑体" w:eastAsia="黑体" w:cs="黑体"/>
          <w:color w:val="000000"/>
          <w:sz w:val="32"/>
          <w:szCs w:val="32"/>
          <w:highlight w:val="none"/>
          <w:lang w:bidi="ar"/>
        </w:rPr>
        <w:t>中标单位：</w:t>
      </w:r>
      <w:r>
        <w:rPr>
          <w:rFonts w:hint="eastAsia" w:ascii="黑体" w:eastAsia="黑体" w:cs="黑体"/>
          <w:color w:val="000000"/>
          <w:sz w:val="32"/>
          <w:szCs w:val="32"/>
          <w:highlight w:val="none"/>
          <w:u w:val="single"/>
          <w:lang w:bidi="ar"/>
        </w:rPr>
        <w:t xml:space="preserve">                                   </w:t>
      </w:r>
    </w:p>
    <w:p w14:paraId="3CE9591D">
      <w:pPr>
        <w:pStyle w:val="357"/>
        <w:widowControl w:val="0"/>
        <w:spacing w:before="0" w:beforeAutospacing="0" w:after="0" w:afterAutospacing="0" w:line="360" w:lineRule="auto"/>
        <w:jc w:val="center"/>
        <w:rPr>
          <w:rFonts w:hint="eastAsia" w:ascii="黑体" w:eastAsia="黑体" w:cs="黑体"/>
          <w:color w:val="000000"/>
          <w:sz w:val="32"/>
          <w:szCs w:val="32"/>
          <w:highlight w:val="none"/>
          <w:lang w:bidi="ar"/>
        </w:rPr>
      </w:pPr>
    </w:p>
    <w:p w14:paraId="3C8B6EBD">
      <w:pPr>
        <w:pStyle w:val="357"/>
        <w:widowControl w:val="0"/>
        <w:spacing w:before="0" w:beforeAutospacing="0" w:after="0" w:afterAutospacing="0" w:line="360" w:lineRule="auto"/>
        <w:jc w:val="center"/>
        <w:rPr>
          <w:rFonts w:hint="eastAsia" w:ascii="黑体" w:eastAsia="黑体" w:cs="黑体"/>
          <w:color w:val="000000"/>
          <w:sz w:val="32"/>
          <w:szCs w:val="32"/>
          <w:highlight w:val="none"/>
          <w:lang w:eastAsia="zh-CN" w:bidi="ar"/>
        </w:rPr>
      </w:pPr>
      <w:r>
        <w:rPr>
          <w:rFonts w:hint="eastAsia" w:ascii="黑体" w:eastAsia="黑体" w:cs="黑体"/>
          <w:color w:val="000000"/>
          <w:sz w:val="32"/>
          <w:szCs w:val="32"/>
          <w:highlight w:val="none"/>
          <w:lang w:eastAsia="zh-CN" w:bidi="ar"/>
        </w:rPr>
        <w:t>镇江晟科工程管理咨询有限公司</w:t>
      </w:r>
    </w:p>
    <w:p w14:paraId="099876BF">
      <w:pPr>
        <w:pStyle w:val="357"/>
        <w:widowControl w:val="0"/>
        <w:spacing w:before="0" w:beforeAutospacing="0" w:after="0" w:afterAutospacing="0" w:line="360" w:lineRule="auto"/>
        <w:jc w:val="center"/>
        <w:rPr>
          <w:b/>
          <w:bCs/>
          <w:color w:val="000000"/>
          <w:sz w:val="32"/>
          <w:szCs w:val="32"/>
          <w:highlight w:val="none"/>
        </w:rPr>
      </w:pPr>
      <w:r>
        <w:rPr>
          <w:rFonts w:hint="eastAsia" w:ascii="黑体" w:eastAsia="黑体" w:cs="黑体"/>
          <w:color w:val="000000"/>
          <w:sz w:val="32"/>
          <w:szCs w:val="32"/>
          <w:highlight w:val="none"/>
          <w:lang w:bidi="ar"/>
        </w:rPr>
        <w:t xml:space="preserve">二○二四年 </w:t>
      </w:r>
      <w:r>
        <w:rPr>
          <w:rFonts w:hint="eastAsia" w:ascii="黑体" w:eastAsia="黑体" w:cs="黑体"/>
          <w:color w:val="000000"/>
          <w:sz w:val="32"/>
          <w:szCs w:val="32"/>
          <w:highlight w:val="none"/>
          <w:lang w:val="en-US" w:eastAsia="zh-CN" w:bidi="ar"/>
        </w:rPr>
        <w:t xml:space="preserve">  </w:t>
      </w:r>
      <w:r>
        <w:rPr>
          <w:rFonts w:hint="eastAsia" w:ascii="黑体" w:eastAsia="黑体" w:cs="黑体"/>
          <w:color w:val="000000"/>
          <w:sz w:val="32"/>
          <w:szCs w:val="32"/>
          <w:highlight w:val="none"/>
          <w:lang w:bidi="ar"/>
        </w:rPr>
        <w:t xml:space="preserve"> 月    日</w:t>
      </w:r>
    </w:p>
    <w:p w14:paraId="3E056817">
      <w:pPr>
        <w:pStyle w:val="264"/>
        <w:spacing w:line="440" w:lineRule="exact"/>
        <w:rPr>
          <w:rFonts w:hAnsi="宋体"/>
          <w:color w:val="000000"/>
          <w:sz w:val="24"/>
          <w:szCs w:val="24"/>
          <w:highlight w:val="none"/>
          <w:lang w:eastAsia="zh-CN"/>
        </w:rPr>
      </w:pPr>
      <w:r>
        <w:rPr>
          <w:rFonts w:hAnsi="宋体"/>
          <w:color w:val="000000"/>
          <w:sz w:val="24"/>
          <w:szCs w:val="24"/>
          <w:highlight w:val="none"/>
        </w:rPr>
        <w:br w:type="page" w:clear="all"/>
      </w:r>
      <w:r>
        <w:rPr>
          <w:rFonts w:hAnsi="宋体"/>
          <w:color w:val="000000"/>
          <w:sz w:val="24"/>
          <w:szCs w:val="24"/>
          <w:highlight w:val="none"/>
        </w:rPr>
        <w:t>项目名称：</w:t>
      </w:r>
      <w:r>
        <w:rPr>
          <w:rFonts w:hint="eastAsia"/>
          <w:color w:val="000000"/>
          <w:sz w:val="24"/>
          <w:szCs w:val="24"/>
          <w:highlight w:val="none"/>
          <w:lang w:eastAsia="zh-CN"/>
        </w:rPr>
        <w:t>扬中市西来桥镇垃圾收运市场化运作项目</w:t>
      </w:r>
      <w:r>
        <w:rPr>
          <w:rFonts w:hint="eastAsia" w:hAnsi="宋体"/>
          <w:color w:val="000000"/>
          <w:sz w:val="24"/>
          <w:szCs w:val="24"/>
          <w:highlight w:val="none"/>
          <w:lang w:eastAsia="zh-CN"/>
        </w:rPr>
        <w:t>服务项目</w:t>
      </w:r>
    </w:p>
    <w:p w14:paraId="49A2ED08">
      <w:pPr>
        <w:pStyle w:val="264"/>
        <w:spacing w:line="440" w:lineRule="exact"/>
        <w:rPr>
          <w:rFonts w:hAnsi="宋体"/>
          <w:color w:val="000000"/>
          <w:sz w:val="24"/>
          <w:szCs w:val="24"/>
          <w:highlight w:val="none"/>
        </w:rPr>
      </w:pPr>
      <w:r>
        <w:rPr>
          <w:rFonts w:hAnsi="宋体"/>
          <w:color w:val="000000"/>
          <w:sz w:val="24"/>
          <w:szCs w:val="24"/>
          <w:highlight w:val="none"/>
        </w:rPr>
        <w:t>项目编号：</w:t>
      </w:r>
      <w:r>
        <w:rPr>
          <w:rFonts w:hint="eastAsia" w:hAnsi="宋体" w:cs="Courier New"/>
          <w:color w:val="000000"/>
          <w:sz w:val="24"/>
          <w:szCs w:val="24"/>
          <w:highlight w:val="none"/>
          <w:lang w:eastAsia="zh-CN"/>
        </w:rPr>
        <w:t>JSZC-321182-ZJSK-C2024-0003</w:t>
      </w:r>
      <w:r>
        <w:rPr>
          <w:rFonts w:hint="eastAsia" w:ascii="宋体" w:hAnsi="宋体" w:cs="Courier New"/>
          <w:color w:val="000000"/>
          <w:sz w:val="24"/>
          <w:szCs w:val="24"/>
          <w:highlight w:val="none"/>
        </w:rPr>
        <w:t xml:space="preserve">    </w:t>
      </w:r>
    </w:p>
    <w:p w14:paraId="0CBDA251">
      <w:pPr>
        <w:pStyle w:val="264"/>
        <w:spacing w:line="440" w:lineRule="exact"/>
        <w:rPr>
          <w:rFonts w:hint="eastAsia" w:hAnsi="宋体" w:eastAsia="宋体"/>
          <w:color w:val="000000"/>
          <w:sz w:val="24"/>
          <w:szCs w:val="24"/>
          <w:highlight w:val="none"/>
          <w:lang w:eastAsia="zh-CN"/>
        </w:rPr>
      </w:pPr>
      <w:r>
        <w:rPr>
          <w:rFonts w:hAnsi="宋体"/>
          <w:color w:val="000000"/>
          <w:sz w:val="24"/>
          <w:szCs w:val="24"/>
          <w:highlight w:val="none"/>
        </w:rPr>
        <w:t>甲方：（买方）</w:t>
      </w:r>
      <w:r>
        <w:rPr>
          <w:rFonts w:hint="eastAsia" w:hAnsi="宋体"/>
          <w:color w:val="000000"/>
          <w:sz w:val="24"/>
          <w:szCs w:val="24"/>
          <w:highlight w:val="none"/>
          <w:u w:val="single"/>
          <w:lang w:eastAsia="zh-CN"/>
        </w:rPr>
        <w:t>扬中市西来桥镇人民政府</w:t>
      </w:r>
    </w:p>
    <w:p w14:paraId="7BE633C9">
      <w:pPr>
        <w:pStyle w:val="264"/>
        <w:spacing w:line="440" w:lineRule="exact"/>
        <w:rPr>
          <w:rFonts w:hAnsi="宋体"/>
          <w:color w:val="000000"/>
          <w:sz w:val="24"/>
          <w:szCs w:val="24"/>
          <w:highlight w:val="none"/>
        </w:rPr>
      </w:pPr>
      <w:r>
        <w:rPr>
          <w:rFonts w:hAnsi="宋体"/>
          <w:color w:val="000000"/>
          <w:sz w:val="24"/>
          <w:szCs w:val="24"/>
          <w:highlight w:val="none"/>
        </w:rPr>
        <w:t>乙方：（卖方）______________________</w:t>
      </w:r>
    </w:p>
    <w:p w14:paraId="77BD97EB">
      <w:pPr>
        <w:pStyle w:val="264"/>
        <w:numPr>
          <w:ilvl w:val="0"/>
          <w:numId w:val="6"/>
        </w:numPr>
        <w:spacing w:line="440" w:lineRule="exact"/>
        <w:ind w:left="361" w:leftChars="0" w:firstLine="0" w:firstLineChars="0"/>
        <w:rPr>
          <w:rFonts w:hAnsi="宋体"/>
          <w:color w:val="000000"/>
          <w:sz w:val="24"/>
          <w:szCs w:val="24"/>
          <w:highlight w:val="none"/>
        </w:rPr>
      </w:pPr>
      <w:r>
        <w:rPr>
          <w:rFonts w:hAnsi="宋体"/>
          <w:color w:val="000000"/>
          <w:sz w:val="24"/>
          <w:szCs w:val="24"/>
          <w:highlight w:val="none"/>
        </w:rPr>
        <w:t>乙双方根据</w:t>
      </w:r>
      <w:r>
        <w:rPr>
          <w:rFonts w:hint="eastAsia" w:hAnsi="宋体"/>
          <w:color w:val="000000"/>
          <w:sz w:val="24"/>
          <w:szCs w:val="24"/>
          <w:highlight w:val="none"/>
          <w:u w:val="single"/>
        </w:rPr>
        <w:t xml:space="preserve"> </w:t>
      </w:r>
      <w:r>
        <w:rPr>
          <w:rFonts w:hint="eastAsia"/>
          <w:color w:val="000000"/>
          <w:sz w:val="24"/>
          <w:szCs w:val="24"/>
          <w:highlight w:val="none"/>
          <w:u w:val="single"/>
          <w:lang w:eastAsia="zh-CN"/>
        </w:rPr>
        <w:t>扬中市西来桥镇垃圾收运市场化运作项目</w:t>
      </w:r>
      <w:r>
        <w:rPr>
          <w:rFonts w:hint="eastAsia" w:hAnsi="宋体"/>
          <w:color w:val="000000"/>
          <w:sz w:val="24"/>
          <w:szCs w:val="24"/>
          <w:highlight w:val="none"/>
          <w:u w:val="single"/>
          <w:lang w:eastAsia="zh-CN"/>
        </w:rPr>
        <w:t>服务项目</w:t>
      </w:r>
      <w:r>
        <w:rPr>
          <w:rFonts w:hint="eastAsia" w:hAnsi="宋体"/>
          <w:color w:val="000000"/>
          <w:sz w:val="24"/>
          <w:szCs w:val="24"/>
          <w:highlight w:val="none"/>
        </w:rPr>
        <w:t>（项目编号：</w:t>
      </w:r>
      <w:r>
        <w:rPr>
          <w:rFonts w:hint="eastAsia" w:hAnsi="宋体" w:cs="Courier New"/>
          <w:color w:val="000000"/>
          <w:sz w:val="24"/>
          <w:szCs w:val="24"/>
          <w:highlight w:val="none"/>
          <w:lang w:eastAsia="zh-CN"/>
        </w:rPr>
        <w:t>JSZC-321182-ZJSK-C2024-0003</w:t>
      </w:r>
      <w:r>
        <w:rPr>
          <w:rFonts w:hint="eastAsia" w:hAnsi="宋体"/>
          <w:color w:val="000000"/>
          <w:sz w:val="24"/>
          <w:szCs w:val="24"/>
          <w:highlight w:val="none"/>
        </w:rPr>
        <w:t>）</w:t>
      </w:r>
      <w:r>
        <w:rPr>
          <w:rFonts w:hint="eastAsia" w:ascii="宋体" w:hAnsi="宋体" w:cs="Courier New"/>
          <w:color w:val="auto"/>
          <w:sz w:val="24"/>
          <w:szCs w:val="24"/>
          <w:highlight w:val="none"/>
        </w:rPr>
        <w:t>竞争性磋商</w:t>
      </w:r>
      <w:r>
        <w:rPr>
          <w:rFonts w:ascii="宋体" w:hAnsi="宋体" w:cs="Courier New"/>
          <w:color w:val="auto"/>
          <w:sz w:val="24"/>
          <w:szCs w:val="24"/>
          <w:highlight w:val="none"/>
        </w:rPr>
        <w:t>的结果，签署本合同</w:t>
      </w:r>
      <w:r>
        <w:rPr>
          <w:rFonts w:hAnsi="宋体"/>
          <w:color w:val="000000"/>
          <w:sz w:val="24"/>
          <w:szCs w:val="24"/>
          <w:highlight w:val="none"/>
        </w:rPr>
        <w:t>。</w:t>
      </w:r>
    </w:p>
    <w:p w14:paraId="1A9D8006">
      <w:pPr>
        <w:spacing w:before="145" w:after="145" w:line="440" w:lineRule="exact"/>
        <w:rPr>
          <w:rFonts w:ascii="宋体" w:hAnsi="宋体" w:cs="Courier New"/>
          <w:b/>
          <w:color w:val="000000"/>
          <w:sz w:val="24"/>
          <w:szCs w:val="24"/>
        </w:rPr>
      </w:pPr>
      <w:r>
        <w:rPr>
          <w:rFonts w:ascii="宋体" w:hAnsi="宋体" w:cs="Courier New"/>
          <w:b/>
          <w:color w:val="000000"/>
          <w:sz w:val="24"/>
          <w:szCs w:val="24"/>
        </w:rPr>
        <w:t>一、</w:t>
      </w:r>
      <w:r>
        <w:rPr>
          <w:rFonts w:hint="eastAsia" w:ascii="宋体" w:hAnsi="宋体" w:cs="Courier New"/>
          <w:b/>
          <w:color w:val="000000"/>
          <w:sz w:val="24"/>
          <w:szCs w:val="24"/>
        </w:rPr>
        <w:t>合同</w:t>
      </w:r>
      <w:r>
        <w:rPr>
          <w:rFonts w:ascii="宋体" w:hAnsi="宋体" w:cs="Courier New"/>
          <w:b/>
          <w:color w:val="000000"/>
          <w:sz w:val="24"/>
          <w:szCs w:val="24"/>
        </w:rPr>
        <w:t>内容</w:t>
      </w:r>
    </w:p>
    <w:p w14:paraId="27868745">
      <w:pPr>
        <w:spacing w:line="440" w:lineRule="exact"/>
        <w:ind w:firstLine="480"/>
        <w:rPr>
          <w:rFonts w:hint="eastAsia" w:ascii="宋体" w:hAnsi="宋体" w:cs="Courier New"/>
          <w:sz w:val="24"/>
          <w:szCs w:val="24"/>
        </w:rPr>
      </w:pPr>
      <w:r>
        <w:rPr>
          <w:rFonts w:ascii="宋体" w:hAnsi="宋体" w:cs="Courier New"/>
          <w:sz w:val="24"/>
          <w:szCs w:val="24"/>
        </w:rPr>
        <w:t xml:space="preserve">1.1 </w:t>
      </w:r>
      <w:r>
        <w:rPr>
          <w:rFonts w:hint="eastAsia" w:ascii="宋体" w:hAnsi="宋体" w:cs="Courier New"/>
          <w:sz w:val="24"/>
          <w:szCs w:val="24"/>
        </w:rPr>
        <w:t>标的</w:t>
      </w:r>
      <w:r>
        <w:rPr>
          <w:rFonts w:ascii="宋体" w:hAnsi="宋体" w:cs="Courier New"/>
          <w:sz w:val="24"/>
          <w:szCs w:val="24"/>
        </w:rPr>
        <w:t>名称：</w:t>
      </w:r>
      <w:r>
        <w:rPr>
          <w:rFonts w:hint="eastAsia"/>
          <w:color w:val="000000"/>
          <w:sz w:val="24"/>
          <w:szCs w:val="24"/>
          <w:highlight w:val="none"/>
          <w:lang w:eastAsia="zh-CN"/>
        </w:rPr>
        <w:t>扬中市西来桥镇垃圾收运市场化运作项目</w:t>
      </w:r>
      <w:r>
        <w:rPr>
          <w:rFonts w:hint="eastAsia" w:hAnsi="宋体"/>
          <w:color w:val="000000"/>
          <w:sz w:val="24"/>
          <w:szCs w:val="24"/>
          <w:highlight w:val="none"/>
          <w:lang w:eastAsia="zh-CN"/>
        </w:rPr>
        <w:t>服务项目</w:t>
      </w:r>
    </w:p>
    <w:p w14:paraId="3C5B00AD">
      <w:pPr>
        <w:spacing w:line="440" w:lineRule="exact"/>
        <w:ind w:firstLine="480"/>
        <w:rPr>
          <w:rFonts w:hint="eastAsia" w:ascii="宋体" w:hAnsi="宋体" w:cs="Courier New"/>
          <w:sz w:val="24"/>
          <w:szCs w:val="24"/>
        </w:rPr>
      </w:pPr>
      <w:r>
        <w:rPr>
          <w:rFonts w:ascii="宋体" w:hAnsi="宋体" w:cs="Courier New"/>
          <w:sz w:val="24"/>
          <w:szCs w:val="24"/>
        </w:rPr>
        <w:t xml:space="preserve">1.2 </w:t>
      </w:r>
      <w:r>
        <w:rPr>
          <w:rFonts w:hint="eastAsia" w:ascii="宋体" w:hAnsi="宋体" w:cs="Courier New"/>
          <w:sz w:val="24"/>
          <w:szCs w:val="24"/>
        </w:rPr>
        <w:t>标的质量：合格</w:t>
      </w:r>
    </w:p>
    <w:p w14:paraId="7719A930">
      <w:pPr>
        <w:spacing w:line="440" w:lineRule="exact"/>
        <w:ind w:firstLine="480"/>
        <w:rPr>
          <w:rFonts w:hint="eastAsia" w:ascii="宋体" w:hAnsi="宋体" w:cs="Courier New"/>
          <w:sz w:val="24"/>
          <w:szCs w:val="24"/>
        </w:rPr>
      </w:pPr>
      <w:r>
        <w:rPr>
          <w:rFonts w:hint="eastAsia" w:ascii="宋体" w:hAnsi="宋体" w:cs="Courier New"/>
          <w:sz w:val="24"/>
          <w:szCs w:val="24"/>
        </w:rPr>
        <w:t>1.3 标的数量（规模）：</w:t>
      </w:r>
    </w:p>
    <w:p w14:paraId="7D30909D">
      <w:pPr>
        <w:spacing w:line="440" w:lineRule="exact"/>
        <w:ind w:firstLine="480"/>
        <w:rPr>
          <w:rFonts w:hint="eastAsia" w:ascii="宋体" w:hAnsi="宋体" w:eastAsia="宋体" w:cs="Courier New"/>
          <w:sz w:val="24"/>
          <w:szCs w:val="24"/>
          <w:lang w:eastAsia="zh-CN"/>
        </w:rPr>
      </w:pPr>
      <w:r>
        <w:rPr>
          <w:rFonts w:hint="eastAsia" w:ascii="宋体" w:hAnsi="宋体" w:cs="Courier New"/>
          <w:sz w:val="24"/>
          <w:szCs w:val="24"/>
        </w:rPr>
        <w:t>1.4 履行时间（期限）：</w:t>
      </w:r>
      <w:r>
        <w:rPr>
          <w:rFonts w:hint="eastAsia" w:hAnsi="宋体"/>
          <w:color w:val="FF0000"/>
          <w:sz w:val="24"/>
          <w:szCs w:val="24"/>
          <w:highlight w:val="none"/>
          <w:lang w:val="en-US" w:eastAsia="zh-CN"/>
        </w:rPr>
        <w:t>合同正常服务期限为</w:t>
      </w:r>
      <w:r>
        <w:rPr>
          <w:rFonts w:hint="eastAsia" w:hAnsi="宋体"/>
          <w:color w:val="FF0000"/>
          <w:sz w:val="24"/>
          <w:szCs w:val="24"/>
          <w:highlight w:val="none"/>
          <w:u w:val="single"/>
          <w:lang w:val="en-US" w:eastAsia="zh-CN"/>
        </w:rPr>
        <w:t xml:space="preserve"> </w:t>
      </w:r>
      <w:r>
        <w:rPr>
          <w:rFonts w:hint="eastAsia" w:hAnsi="宋体"/>
          <w:b/>
          <w:bCs/>
          <w:color w:val="FF0000"/>
          <w:sz w:val="24"/>
          <w:szCs w:val="24"/>
          <w:highlight w:val="none"/>
          <w:u w:val="single"/>
          <w:lang w:val="en-US" w:eastAsia="zh-CN"/>
        </w:rPr>
        <w:t>二年</w:t>
      </w:r>
      <w:r>
        <w:rPr>
          <w:rFonts w:hint="eastAsia" w:hAnsi="宋体"/>
          <w:color w:val="FF0000"/>
          <w:sz w:val="24"/>
          <w:szCs w:val="24"/>
          <w:highlight w:val="none"/>
          <w:lang w:val="en-US" w:eastAsia="zh-CN"/>
        </w:rPr>
        <w:t>，</w:t>
      </w:r>
      <w:r>
        <w:rPr>
          <w:rFonts w:hint="eastAsia" w:hAnsi="宋体"/>
          <w:color w:val="FF0000"/>
          <w:sz w:val="24"/>
          <w:szCs w:val="24"/>
          <w:highlight w:val="none"/>
        </w:rPr>
        <w:t>合同自</w:t>
      </w:r>
      <w:r>
        <w:rPr>
          <w:rFonts w:hint="eastAsia" w:hAnsi="宋体"/>
          <w:color w:val="FF0000"/>
          <w:sz w:val="24"/>
          <w:szCs w:val="24"/>
          <w:highlight w:val="none"/>
          <w:u w:val="single"/>
          <w:lang w:val="en-US" w:eastAsia="zh-CN"/>
        </w:rPr>
        <w:t>2025</w:t>
      </w:r>
      <w:r>
        <w:rPr>
          <w:rFonts w:hint="eastAsia" w:hAnsi="宋体"/>
          <w:color w:val="FF0000"/>
          <w:sz w:val="24"/>
          <w:szCs w:val="24"/>
          <w:highlight w:val="none"/>
          <w:u w:val="single"/>
        </w:rPr>
        <w:t>年</w:t>
      </w:r>
      <w:r>
        <w:rPr>
          <w:rFonts w:hint="eastAsia" w:hAnsi="宋体"/>
          <w:color w:val="FF0000"/>
          <w:sz w:val="24"/>
          <w:szCs w:val="24"/>
          <w:highlight w:val="none"/>
          <w:u w:val="single"/>
          <w:lang w:val="en-US" w:eastAsia="zh-CN"/>
        </w:rPr>
        <w:t>1</w:t>
      </w:r>
      <w:r>
        <w:rPr>
          <w:rFonts w:hint="eastAsia" w:hAnsi="宋体"/>
          <w:color w:val="FF0000"/>
          <w:sz w:val="24"/>
          <w:szCs w:val="24"/>
          <w:highlight w:val="none"/>
          <w:u w:val="single"/>
        </w:rPr>
        <w:t>月</w:t>
      </w:r>
      <w:r>
        <w:rPr>
          <w:rFonts w:hint="eastAsia" w:hAnsi="宋体"/>
          <w:color w:val="FF0000"/>
          <w:sz w:val="24"/>
          <w:szCs w:val="24"/>
          <w:highlight w:val="none"/>
          <w:u w:val="single"/>
          <w:lang w:val="en-US" w:eastAsia="zh-CN"/>
        </w:rPr>
        <w:t>1</w:t>
      </w:r>
      <w:r>
        <w:rPr>
          <w:rFonts w:hint="eastAsia" w:hAnsi="宋体"/>
          <w:color w:val="FF0000"/>
          <w:sz w:val="24"/>
          <w:szCs w:val="24"/>
          <w:highlight w:val="none"/>
          <w:u w:val="single"/>
        </w:rPr>
        <w:t xml:space="preserve">日至 </w:t>
      </w:r>
      <w:r>
        <w:rPr>
          <w:rFonts w:hint="eastAsia" w:hAnsi="宋体"/>
          <w:color w:val="FF0000"/>
          <w:sz w:val="24"/>
          <w:szCs w:val="24"/>
          <w:highlight w:val="none"/>
          <w:u w:val="single"/>
          <w:lang w:val="en-US" w:eastAsia="zh-CN"/>
        </w:rPr>
        <w:t>2026</w:t>
      </w:r>
      <w:r>
        <w:rPr>
          <w:rFonts w:hint="eastAsia" w:hAnsi="宋体"/>
          <w:color w:val="FF0000"/>
          <w:sz w:val="24"/>
          <w:szCs w:val="24"/>
          <w:highlight w:val="none"/>
          <w:u w:val="single"/>
        </w:rPr>
        <w:t>年</w:t>
      </w:r>
      <w:r>
        <w:rPr>
          <w:rFonts w:hint="eastAsia" w:hAnsi="宋体"/>
          <w:color w:val="FF0000"/>
          <w:sz w:val="24"/>
          <w:szCs w:val="24"/>
          <w:highlight w:val="none"/>
          <w:u w:val="single"/>
          <w:lang w:val="en-US" w:eastAsia="zh-CN"/>
        </w:rPr>
        <w:t>12</w:t>
      </w:r>
      <w:r>
        <w:rPr>
          <w:rFonts w:hint="eastAsia" w:hAnsi="宋体"/>
          <w:color w:val="FF0000"/>
          <w:sz w:val="24"/>
          <w:szCs w:val="24"/>
          <w:highlight w:val="none"/>
          <w:u w:val="single"/>
        </w:rPr>
        <w:t>月</w:t>
      </w:r>
      <w:r>
        <w:rPr>
          <w:rFonts w:hint="eastAsia" w:hAnsi="宋体"/>
          <w:color w:val="FF0000"/>
          <w:sz w:val="24"/>
          <w:szCs w:val="24"/>
          <w:highlight w:val="none"/>
          <w:u w:val="single"/>
          <w:lang w:val="en-US" w:eastAsia="zh-CN"/>
        </w:rPr>
        <w:t>31</w:t>
      </w:r>
      <w:r>
        <w:rPr>
          <w:rFonts w:hint="eastAsia" w:hAnsi="宋体"/>
          <w:color w:val="FF0000"/>
          <w:sz w:val="24"/>
          <w:szCs w:val="24"/>
          <w:highlight w:val="none"/>
          <w:u w:val="single"/>
        </w:rPr>
        <w:t>日</w:t>
      </w:r>
      <w:r>
        <w:rPr>
          <w:rFonts w:hint="eastAsia" w:hAnsi="宋体"/>
          <w:color w:val="FF0000"/>
          <w:sz w:val="24"/>
          <w:szCs w:val="24"/>
          <w:highlight w:val="none"/>
        </w:rPr>
        <w:t>止</w:t>
      </w:r>
      <w:r>
        <w:rPr>
          <w:rFonts w:hint="eastAsia" w:hAnsi="宋体"/>
          <w:color w:val="FF0000"/>
          <w:sz w:val="24"/>
          <w:szCs w:val="24"/>
          <w:highlight w:val="none"/>
          <w:lang w:eastAsia="zh-CN"/>
        </w:rPr>
        <w:t>。</w:t>
      </w:r>
    </w:p>
    <w:p w14:paraId="71F0BF21">
      <w:pPr>
        <w:spacing w:line="440" w:lineRule="exact"/>
        <w:ind w:firstLine="480"/>
        <w:rPr>
          <w:rFonts w:ascii="宋体" w:hAnsi="宋体" w:cs="Courier New"/>
          <w:sz w:val="24"/>
          <w:szCs w:val="24"/>
        </w:rPr>
      </w:pPr>
      <w:r>
        <w:rPr>
          <w:rFonts w:hint="eastAsia" w:ascii="宋体" w:hAnsi="宋体" w:cs="Courier New"/>
          <w:sz w:val="24"/>
          <w:szCs w:val="24"/>
        </w:rPr>
        <w:t>1.5 履行地点：</w:t>
      </w:r>
    </w:p>
    <w:p w14:paraId="3A9F99D6">
      <w:pPr>
        <w:spacing w:line="440" w:lineRule="exact"/>
        <w:ind w:firstLine="480"/>
        <w:rPr>
          <w:rFonts w:hint="eastAsia" w:ascii="宋体" w:hAnsi="宋体" w:cs="Courier New"/>
          <w:sz w:val="24"/>
          <w:szCs w:val="24"/>
        </w:rPr>
      </w:pPr>
      <w:r>
        <w:rPr>
          <w:rFonts w:ascii="宋体" w:hAnsi="宋体" w:cs="Courier New"/>
          <w:sz w:val="24"/>
          <w:szCs w:val="24"/>
        </w:rPr>
        <w:t>1.</w:t>
      </w:r>
      <w:r>
        <w:rPr>
          <w:rFonts w:hint="eastAsia" w:ascii="宋体" w:hAnsi="宋体" w:cs="Courier New"/>
          <w:sz w:val="24"/>
          <w:szCs w:val="24"/>
        </w:rPr>
        <w:t>6</w:t>
      </w:r>
      <w:r>
        <w:rPr>
          <w:rFonts w:ascii="宋体" w:hAnsi="宋体" w:cs="Courier New"/>
          <w:sz w:val="24"/>
          <w:szCs w:val="24"/>
        </w:rPr>
        <w:t xml:space="preserve"> </w:t>
      </w:r>
      <w:r>
        <w:rPr>
          <w:rFonts w:hint="eastAsia" w:ascii="宋体" w:hAnsi="宋体" w:cs="Courier New"/>
          <w:sz w:val="24"/>
          <w:szCs w:val="24"/>
        </w:rPr>
        <w:t>履行方式：</w:t>
      </w:r>
      <w:r>
        <w:rPr>
          <w:rFonts w:hint="eastAsia" w:hAnsi="宋体"/>
          <w:bCs/>
          <w:sz w:val="24"/>
          <w:szCs w:val="24"/>
        </w:rPr>
        <w:t>按合同、招标文件、投标文件内容执行</w:t>
      </w:r>
      <w:r>
        <w:rPr>
          <w:rFonts w:hint="eastAsia" w:ascii="宋体" w:hAnsi="宋体" w:cs="Courier New"/>
          <w:sz w:val="24"/>
          <w:szCs w:val="24"/>
        </w:rPr>
        <w:t>。</w:t>
      </w:r>
    </w:p>
    <w:p w14:paraId="67AB016B">
      <w:pPr>
        <w:spacing w:line="440" w:lineRule="exact"/>
        <w:ind w:firstLine="480"/>
        <w:rPr>
          <w:rFonts w:hint="default" w:ascii="宋体" w:hAnsi="宋体" w:cs="Courier New"/>
          <w:sz w:val="24"/>
          <w:szCs w:val="24"/>
          <w:lang w:val="en-US" w:eastAsia="zh-CN"/>
        </w:rPr>
      </w:pPr>
      <w:r>
        <w:rPr>
          <w:rFonts w:hint="eastAsia" w:ascii="宋体" w:hAnsi="宋体" w:cs="Courier New"/>
          <w:sz w:val="24"/>
          <w:szCs w:val="24"/>
          <w:lang w:val="en-US" w:eastAsia="zh-CN"/>
        </w:rPr>
        <w:t>1.7</w:t>
      </w:r>
    </w:p>
    <w:p w14:paraId="4E29797D">
      <w:pPr>
        <w:snapToGrid w:val="0"/>
        <w:spacing w:before="145" w:beforeLines="50" w:after="145" w:afterLines="50" w:line="440" w:lineRule="exact"/>
        <w:rPr>
          <w:rFonts w:ascii="宋体" w:hAnsi="宋体" w:cs="Courier New"/>
          <w:b/>
          <w:sz w:val="24"/>
          <w:szCs w:val="24"/>
        </w:rPr>
      </w:pPr>
      <w:r>
        <w:rPr>
          <w:rFonts w:ascii="宋体" w:hAnsi="宋体" w:cs="Courier New"/>
          <w:b/>
          <w:sz w:val="24"/>
          <w:szCs w:val="24"/>
        </w:rPr>
        <w:t>二、合同金额</w:t>
      </w:r>
    </w:p>
    <w:p w14:paraId="25FED690">
      <w:pPr>
        <w:snapToGrid w:val="0"/>
        <w:spacing w:line="440" w:lineRule="exact"/>
        <w:ind w:left="410" w:hanging="410" w:hangingChars="171"/>
        <w:rPr>
          <w:rFonts w:hint="eastAsia" w:hAnsi="宋体"/>
          <w:color w:val="FF0000"/>
          <w:sz w:val="24"/>
          <w:szCs w:val="24"/>
          <w:highlight w:val="none"/>
          <w:lang w:val="en-US" w:eastAsia="zh-CN"/>
        </w:rPr>
      </w:pPr>
      <w:r>
        <w:rPr>
          <w:rFonts w:ascii="宋体" w:hAnsi="宋体" w:cs="Courier New"/>
          <w:sz w:val="24"/>
          <w:szCs w:val="24"/>
        </w:rPr>
        <w:t xml:space="preserve">2.1 </w:t>
      </w:r>
      <w:r>
        <w:rPr>
          <w:rFonts w:hint="eastAsia" w:hAnsi="宋体"/>
          <w:color w:val="FF0000"/>
          <w:sz w:val="24"/>
          <w:szCs w:val="24"/>
          <w:highlight w:val="none"/>
          <w:lang w:val="en-US" w:eastAsia="zh-CN"/>
        </w:rPr>
        <w:t>本合同中标价格为</w:t>
      </w:r>
      <w:r>
        <w:rPr>
          <w:rFonts w:hint="eastAsia" w:hAnsi="宋体"/>
          <w:color w:val="FF0000"/>
          <w:sz w:val="24"/>
          <w:szCs w:val="24"/>
          <w:highlight w:val="none"/>
        </w:rPr>
        <w:t>（大写）：</w:t>
      </w:r>
      <w:r>
        <w:rPr>
          <w:rFonts w:hint="eastAsia" w:hAnsi="宋体"/>
          <w:color w:val="FF0000"/>
          <w:sz w:val="24"/>
          <w:szCs w:val="24"/>
          <w:highlight w:val="none"/>
          <w:u w:val="single"/>
        </w:rPr>
        <w:t xml:space="preserve">   </w:t>
      </w:r>
      <w:r>
        <w:rPr>
          <w:rFonts w:hint="eastAsia" w:hAnsi="宋体"/>
          <w:color w:val="FF0000"/>
          <w:sz w:val="24"/>
          <w:szCs w:val="24"/>
          <w:highlight w:val="none"/>
          <w:u w:val="single"/>
          <w:lang w:val="en-US" w:eastAsia="zh-CN"/>
        </w:rPr>
        <w:t xml:space="preserve">   </w:t>
      </w:r>
      <w:r>
        <w:rPr>
          <w:rFonts w:hint="eastAsia" w:hAnsi="宋体"/>
          <w:color w:val="FF0000"/>
          <w:sz w:val="24"/>
          <w:szCs w:val="24"/>
          <w:highlight w:val="none"/>
          <w:u w:val="single"/>
        </w:rPr>
        <w:t xml:space="preserve">      </w:t>
      </w:r>
      <w:r>
        <w:rPr>
          <w:rFonts w:hint="eastAsia" w:hAnsi="宋体"/>
          <w:color w:val="FF0000"/>
          <w:sz w:val="24"/>
          <w:szCs w:val="24"/>
          <w:highlight w:val="none"/>
          <w:lang w:val="en-US" w:eastAsia="zh-CN"/>
        </w:rPr>
        <w:t>元/年，合计</w:t>
      </w:r>
      <w:r>
        <w:rPr>
          <w:rFonts w:hint="eastAsia" w:hAnsi="宋体"/>
          <w:color w:val="FF0000"/>
          <w:sz w:val="24"/>
          <w:szCs w:val="24"/>
          <w:highlight w:val="none"/>
          <w:u w:val="single"/>
        </w:rPr>
        <w:t xml:space="preserve">   </w:t>
      </w:r>
      <w:r>
        <w:rPr>
          <w:rFonts w:hint="eastAsia" w:hAnsi="宋体"/>
          <w:color w:val="FF0000"/>
          <w:sz w:val="24"/>
          <w:szCs w:val="24"/>
          <w:highlight w:val="none"/>
          <w:u w:val="single"/>
          <w:lang w:val="en-US" w:eastAsia="zh-CN"/>
        </w:rPr>
        <w:t xml:space="preserve">  </w:t>
      </w:r>
      <w:r>
        <w:rPr>
          <w:rFonts w:hint="eastAsia" w:hAnsi="宋体"/>
          <w:color w:val="FF0000"/>
          <w:sz w:val="24"/>
          <w:szCs w:val="24"/>
          <w:highlight w:val="none"/>
          <w:u w:val="single"/>
        </w:rPr>
        <w:t xml:space="preserve">      </w:t>
      </w:r>
      <w:r>
        <w:rPr>
          <w:rFonts w:hint="eastAsia" w:hAnsi="宋体"/>
          <w:color w:val="FF0000"/>
          <w:sz w:val="24"/>
          <w:szCs w:val="24"/>
          <w:highlight w:val="none"/>
          <w:lang w:val="en-US" w:eastAsia="zh-CN"/>
        </w:rPr>
        <w:t>元；</w:t>
      </w:r>
    </w:p>
    <w:p w14:paraId="244C049C">
      <w:pPr>
        <w:spacing w:line="360" w:lineRule="auto"/>
        <w:ind w:firstLine="2400" w:firstLineChars="1000"/>
        <w:jc w:val="both"/>
        <w:rPr>
          <w:rFonts w:hint="eastAsia" w:hAnsi="宋体"/>
          <w:color w:val="FF0000"/>
          <w:sz w:val="24"/>
          <w:szCs w:val="24"/>
          <w:highlight w:val="none"/>
          <w:lang w:val="en-US" w:eastAsia="zh-CN"/>
        </w:rPr>
      </w:pPr>
      <w:r>
        <w:rPr>
          <w:rFonts w:hint="eastAsia" w:hAnsi="宋体"/>
          <w:color w:val="FF0000"/>
          <w:sz w:val="24"/>
          <w:szCs w:val="24"/>
          <w:highlight w:val="none"/>
          <w:lang w:val="en-US" w:eastAsia="zh-CN"/>
        </w:rPr>
        <w:t>（小写</w:t>
      </w:r>
      <w:r>
        <w:rPr>
          <w:rFonts w:hint="eastAsia" w:hAnsi="宋体"/>
          <w:color w:val="FF0000"/>
          <w:sz w:val="24"/>
          <w:szCs w:val="24"/>
          <w:highlight w:val="none"/>
          <w:u w:val="none"/>
          <w:lang w:val="en-US" w:eastAsia="zh-CN"/>
        </w:rPr>
        <w:t>）：</w:t>
      </w:r>
      <w:r>
        <w:rPr>
          <w:rFonts w:hint="eastAsia" w:hAnsi="宋体"/>
          <w:color w:val="FF0000"/>
          <w:sz w:val="24"/>
          <w:szCs w:val="24"/>
          <w:highlight w:val="none"/>
          <w:u w:val="single"/>
        </w:rPr>
        <w:t xml:space="preserve">     </w:t>
      </w:r>
      <w:r>
        <w:rPr>
          <w:rFonts w:hint="eastAsia" w:hAnsi="宋体"/>
          <w:color w:val="FF0000"/>
          <w:sz w:val="24"/>
          <w:szCs w:val="24"/>
          <w:highlight w:val="none"/>
          <w:u w:val="single"/>
          <w:lang w:val="en-US" w:eastAsia="zh-CN"/>
        </w:rPr>
        <w:t xml:space="preserve">   </w:t>
      </w:r>
      <w:r>
        <w:rPr>
          <w:rFonts w:hint="eastAsia" w:hAnsi="宋体"/>
          <w:color w:val="FF0000"/>
          <w:sz w:val="24"/>
          <w:szCs w:val="24"/>
          <w:highlight w:val="none"/>
          <w:u w:val="single"/>
        </w:rPr>
        <w:t xml:space="preserve">    </w:t>
      </w:r>
      <w:r>
        <w:rPr>
          <w:rFonts w:hint="eastAsia" w:hAnsi="宋体"/>
          <w:color w:val="FF0000"/>
          <w:sz w:val="24"/>
          <w:szCs w:val="24"/>
          <w:highlight w:val="none"/>
          <w:lang w:val="en-US" w:eastAsia="zh-CN"/>
        </w:rPr>
        <w:t>元/年，合计</w:t>
      </w:r>
      <w:r>
        <w:rPr>
          <w:rFonts w:hint="eastAsia" w:hAnsi="宋体"/>
          <w:color w:val="FF0000"/>
          <w:sz w:val="24"/>
          <w:szCs w:val="24"/>
          <w:highlight w:val="none"/>
          <w:u w:val="single"/>
        </w:rPr>
        <w:t xml:space="preserve">    </w:t>
      </w:r>
      <w:r>
        <w:rPr>
          <w:rFonts w:hint="eastAsia" w:hAnsi="宋体"/>
          <w:color w:val="FF0000"/>
          <w:sz w:val="24"/>
          <w:szCs w:val="24"/>
          <w:highlight w:val="none"/>
          <w:u w:val="single"/>
          <w:lang w:val="en-US" w:eastAsia="zh-CN"/>
        </w:rPr>
        <w:t xml:space="preserve">  </w:t>
      </w:r>
      <w:r>
        <w:rPr>
          <w:rFonts w:hint="eastAsia" w:hAnsi="宋体"/>
          <w:color w:val="FF0000"/>
          <w:sz w:val="24"/>
          <w:szCs w:val="24"/>
          <w:highlight w:val="none"/>
          <w:u w:val="single"/>
        </w:rPr>
        <w:t xml:space="preserve">     </w:t>
      </w:r>
      <w:r>
        <w:rPr>
          <w:rFonts w:hint="eastAsia" w:hAnsi="宋体"/>
          <w:color w:val="FF0000"/>
          <w:sz w:val="24"/>
          <w:szCs w:val="24"/>
          <w:highlight w:val="none"/>
          <w:lang w:val="en-US" w:eastAsia="zh-CN"/>
        </w:rPr>
        <w:t>元。</w:t>
      </w:r>
    </w:p>
    <w:p w14:paraId="5CBDCDB7">
      <w:pPr>
        <w:snapToGrid w:val="0"/>
        <w:spacing w:before="145" w:beforeLines="50" w:after="145" w:afterLines="50" w:line="440" w:lineRule="exact"/>
        <w:rPr>
          <w:rFonts w:ascii="宋体" w:hAnsi="宋体" w:cs="Courier New"/>
          <w:b/>
          <w:sz w:val="24"/>
          <w:szCs w:val="24"/>
        </w:rPr>
      </w:pPr>
      <w:r>
        <w:rPr>
          <w:rFonts w:ascii="宋体" w:hAnsi="宋体" w:cs="Courier New"/>
          <w:b/>
          <w:sz w:val="24"/>
          <w:szCs w:val="24"/>
        </w:rPr>
        <w:t>三、技术资料</w:t>
      </w:r>
    </w:p>
    <w:p w14:paraId="6E9D9BF6">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3.1乙方应按磋商文件规定的时间向甲方提供与合同标的有关的技术资料。</w:t>
      </w:r>
    </w:p>
    <w:p w14:paraId="071DEC28">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F48EE6D">
      <w:pPr>
        <w:snapToGrid w:val="0"/>
        <w:spacing w:before="145" w:beforeLines="50" w:after="145" w:afterLines="50" w:line="440" w:lineRule="exact"/>
        <w:rPr>
          <w:rFonts w:ascii="宋体" w:hAnsi="宋体" w:cs="Courier New"/>
          <w:b/>
          <w:sz w:val="24"/>
          <w:szCs w:val="24"/>
        </w:rPr>
      </w:pPr>
      <w:r>
        <w:rPr>
          <w:rFonts w:ascii="宋体" w:hAnsi="宋体" w:cs="Courier New"/>
          <w:b/>
          <w:sz w:val="24"/>
          <w:szCs w:val="24"/>
        </w:rPr>
        <w:t>四、知识产权</w:t>
      </w:r>
    </w:p>
    <w:p w14:paraId="614FF123">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乙方应保证甲方在使用、接受本合同标的或其任何一部分时不受第三方提出侵犯其专利权、版权、商标权和工业设计权等知识产权的起诉。一旦出现侵权，由乙方负全部责任。</w:t>
      </w:r>
    </w:p>
    <w:p w14:paraId="48C2EB6B">
      <w:pPr>
        <w:snapToGrid w:val="0"/>
        <w:spacing w:before="145" w:beforeLines="50" w:after="145" w:afterLines="50" w:line="440" w:lineRule="exact"/>
        <w:rPr>
          <w:rFonts w:ascii="宋体" w:hAnsi="宋体" w:cs="Courier New"/>
          <w:b/>
          <w:sz w:val="24"/>
          <w:szCs w:val="24"/>
        </w:rPr>
      </w:pPr>
      <w:r>
        <w:rPr>
          <w:rFonts w:ascii="宋体" w:hAnsi="宋体" w:cs="Courier New"/>
          <w:b/>
          <w:sz w:val="24"/>
          <w:szCs w:val="24"/>
        </w:rPr>
        <w:t>五、产权担保</w:t>
      </w:r>
    </w:p>
    <w:p w14:paraId="20C3C3A3">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乙方保证所交付的合同标的的所有权完全属于乙方且无任何抵押、查封等产权瑕疵。</w:t>
      </w:r>
    </w:p>
    <w:p w14:paraId="727E24C4">
      <w:pPr>
        <w:snapToGrid w:val="0"/>
        <w:spacing w:before="145" w:beforeLines="50" w:after="145" w:afterLines="50" w:line="440" w:lineRule="exact"/>
        <w:rPr>
          <w:rFonts w:ascii="宋体" w:hAnsi="宋体" w:cs="Courier New"/>
          <w:b/>
          <w:sz w:val="24"/>
          <w:szCs w:val="24"/>
        </w:rPr>
      </w:pPr>
      <w:r>
        <w:rPr>
          <w:rFonts w:ascii="宋体" w:hAnsi="宋体" w:cs="Courier New"/>
          <w:b/>
          <w:sz w:val="24"/>
          <w:szCs w:val="24"/>
        </w:rPr>
        <w:t>六、履约保证金</w:t>
      </w:r>
    </w:p>
    <w:p w14:paraId="0B20EAF0">
      <w:pPr>
        <w:spacing w:line="440" w:lineRule="exact"/>
        <w:ind w:left="479" w:firstLine="72"/>
        <w:rPr>
          <w:rFonts w:hint="eastAsia" w:hAnsi="宋体"/>
          <w:sz w:val="24"/>
          <w:szCs w:val="24"/>
        </w:rPr>
      </w:pPr>
      <w:r>
        <w:rPr>
          <w:rFonts w:hint="eastAsia" w:hAnsi="宋体"/>
          <w:sz w:val="24"/>
          <w:szCs w:val="24"/>
          <w:lang w:eastAsia="zh-CN"/>
        </w:rPr>
        <w:t>□</w:t>
      </w:r>
      <w:r>
        <w:rPr>
          <w:rFonts w:hint="eastAsia" w:hAnsi="宋体"/>
          <w:sz w:val="24"/>
          <w:szCs w:val="24"/>
        </w:rPr>
        <w:t>本项目不收取履约保证金。</w:t>
      </w:r>
    </w:p>
    <w:p w14:paraId="660BECDC">
      <w:pPr>
        <w:spacing w:line="440" w:lineRule="exact"/>
        <w:ind w:left="0" w:leftChars="0" w:firstLine="600" w:firstLineChars="0"/>
        <w:rPr>
          <w:rFonts w:hint="eastAsia" w:hAnsi="宋体"/>
          <w:sz w:val="24"/>
          <w:szCs w:val="24"/>
        </w:rPr>
      </w:pPr>
      <w:r>
        <w:rPr>
          <w:rFonts w:hint="eastAsia" w:hAnsi="宋体"/>
          <w:sz w:val="24"/>
          <w:szCs w:val="24"/>
          <w:lang w:eastAsia="zh-CN"/>
        </w:rPr>
        <w:t>☑本项目中标供应商应提交</w:t>
      </w:r>
      <w:r>
        <w:rPr>
          <w:rFonts w:hint="eastAsia" w:hAnsi="宋体"/>
          <w:sz w:val="24"/>
          <w:szCs w:val="24"/>
          <w:highlight w:val="yellow"/>
          <w:u w:val="single"/>
          <w:lang w:val="en-US" w:eastAsia="zh-CN"/>
        </w:rPr>
        <w:t>壹拾万元整</w:t>
      </w:r>
      <w:r>
        <w:rPr>
          <w:rFonts w:hint="eastAsia" w:hAnsi="宋体"/>
          <w:sz w:val="24"/>
          <w:szCs w:val="24"/>
          <w:lang w:eastAsia="zh-CN"/>
        </w:rPr>
        <w:t>履约保证金(不得</w:t>
      </w:r>
      <w:r>
        <w:rPr>
          <w:rFonts w:hint="eastAsia" w:hAnsi="宋体"/>
          <w:sz w:val="24"/>
          <w:szCs w:val="24"/>
          <w:lang w:val="en-US" w:eastAsia="zh-CN"/>
        </w:rPr>
        <w:t>超</w:t>
      </w:r>
      <w:r>
        <w:rPr>
          <w:rFonts w:hint="eastAsia" w:hAnsi="宋体"/>
          <w:sz w:val="24"/>
          <w:szCs w:val="24"/>
          <w:lang w:eastAsia="zh-CN"/>
        </w:rPr>
        <w:t>过</w:t>
      </w:r>
      <w:r>
        <w:rPr>
          <w:rFonts w:hint="eastAsia" w:hAnsi="宋体"/>
          <w:sz w:val="24"/>
          <w:szCs w:val="24"/>
        </w:rPr>
        <w:t>政府采购合同金额的10%)，履约保证金应以支票、汇票、本票、保函、保险保单等非现金形式缴纳或提交。支持和鼓励中标供应商自愿使用履约(保函)保险代替缴纳履约保证金。省财政厅已上线政府采购电子履约保函(保险)平台，平台可通过域名 www.jsdzbh.com 直接访问，也可通过江苏省政府采购网、“苏采云”系统链接访问。</w:t>
      </w:r>
    </w:p>
    <w:p w14:paraId="584EEC0D">
      <w:pPr>
        <w:spacing w:before="145" w:after="145" w:line="440" w:lineRule="exact"/>
        <w:rPr>
          <w:rFonts w:ascii="宋体" w:hAnsi="宋体" w:cs="Courier New"/>
          <w:b/>
          <w:sz w:val="24"/>
          <w:szCs w:val="24"/>
        </w:rPr>
      </w:pPr>
      <w:r>
        <w:rPr>
          <w:rFonts w:hint="eastAsia" w:ascii="宋体" w:hAnsi="宋体" w:cs="Courier New"/>
          <w:b/>
          <w:sz w:val="24"/>
          <w:szCs w:val="24"/>
        </w:rPr>
        <w:t>七、合同转包或分包</w:t>
      </w:r>
    </w:p>
    <w:p w14:paraId="6C34B88D">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7.1乙方不得将合同标的转包给他人履行。</w:t>
      </w:r>
    </w:p>
    <w:p w14:paraId="361F0F69">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7.2乙方不得将合同标的分包给他人履行。</w:t>
      </w:r>
    </w:p>
    <w:p w14:paraId="4D68988C">
      <w:pPr>
        <w:spacing w:line="440" w:lineRule="exact"/>
        <w:ind w:firstLine="539"/>
        <w:rPr>
          <w:rFonts w:hint="eastAsia" w:ascii="宋体" w:hAnsi="宋体"/>
          <w:color w:val="auto"/>
          <w:sz w:val="24"/>
          <w:szCs w:val="24"/>
          <w:highlight w:val="none"/>
          <w:lang w:eastAsia="zh-CN"/>
        </w:rPr>
      </w:pPr>
      <w:r>
        <w:rPr>
          <w:rFonts w:hint="eastAsia" w:ascii="宋体" w:hAnsi="宋体"/>
          <w:color w:val="auto"/>
          <w:sz w:val="24"/>
          <w:szCs w:val="24"/>
          <w:highlight w:val="none"/>
        </w:rPr>
        <w:t>7.3乙方如有转包或未经甲方同意的分包行为，甲方有权解除合同</w:t>
      </w:r>
      <w:r>
        <w:rPr>
          <w:rFonts w:hint="eastAsia" w:ascii="宋体" w:hAnsi="宋体"/>
          <w:color w:val="auto"/>
          <w:sz w:val="24"/>
          <w:szCs w:val="24"/>
          <w:highlight w:val="none"/>
          <w:lang w:eastAsia="zh-CN"/>
        </w:rPr>
        <w:t>。</w:t>
      </w:r>
    </w:p>
    <w:p w14:paraId="409EBBB8">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lang w:val="en-US" w:eastAsia="zh-CN"/>
        </w:rPr>
        <w:t>7.4乙方如被发现向他人转让本项目或将本项目肢解后向他人分包，甲方有权解除本合同，且乙方需向甲方支付年度服务费用10%的违约金</w:t>
      </w:r>
      <w:r>
        <w:rPr>
          <w:rFonts w:hint="eastAsia" w:ascii="宋体" w:hAnsi="宋体"/>
          <w:color w:val="auto"/>
          <w:sz w:val="24"/>
          <w:szCs w:val="24"/>
          <w:highlight w:val="none"/>
        </w:rPr>
        <w:t>。</w:t>
      </w:r>
    </w:p>
    <w:p w14:paraId="6BCF6C58">
      <w:pPr>
        <w:spacing w:before="145" w:after="145" w:line="440" w:lineRule="exact"/>
        <w:rPr>
          <w:rFonts w:hint="eastAsia" w:ascii="宋体" w:hAnsi="宋体" w:cs="Courier New"/>
          <w:b/>
          <w:color w:val="000000"/>
          <w:sz w:val="24"/>
          <w:szCs w:val="24"/>
          <w:highlight w:val="none"/>
        </w:rPr>
      </w:pPr>
      <w:r>
        <w:rPr>
          <w:rFonts w:hint="eastAsia" w:ascii="宋体" w:hAnsi="宋体" w:cs="Courier New"/>
          <w:b/>
          <w:color w:val="000000"/>
          <w:sz w:val="24"/>
          <w:szCs w:val="24"/>
          <w:highlight w:val="none"/>
        </w:rPr>
        <w:t>八、合同款项支付</w:t>
      </w:r>
    </w:p>
    <w:p w14:paraId="7E050F5E">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8.1合同款项的支付方式及进度安排</w:t>
      </w:r>
    </w:p>
    <w:p w14:paraId="41C65657">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8.2预付款支付：乙方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（需要/不需要）甲方支付预付款。</w:t>
      </w:r>
    </w:p>
    <w:p w14:paraId="2DEC808B">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8.3若需要预付款的，则支付预付款比例：甲方自收到发票之日起10个工</w:t>
      </w:r>
    </w:p>
    <w:p w14:paraId="1BB7D99D">
      <w:pPr>
        <w:spacing w:line="440" w:lineRule="exact"/>
        <w:ind w:firstLine="539"/>
        <w:rPr>
          <w:rFonts w:hint="eastAsia" w:ascii="宋体" w:hAnsi="宋体"/>
          <w:color w:val="auto"/>
          <w:sz w:val="24"/>
          <w:szCs w:val="24"/>
          <w:highlight w:val="none"/>
          <w:lang w:val="zh-TW"/>
        </w:rPr>
      </w:pPr>
      <w:r>
        <w:rPr>
          <w:rFonts w:hint="eastAsia" w:ascii="宋体" w:hAnsi="宋体"/>
          <w:color w:val="auto"/>
          <w:sz w:val="24"/>
          <w:szCs w:val="24"/>
          <w:highlight w:val="none"/>
        </w:rPr>
        <w:t>作日内付至合同价的</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%（本项目预付款比例为合同金额的</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%，预付款支付金额为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万元）</w:t>
      </w:r>
      <w:r>
        <w:rPr>
          <w:rFonts w:hint="eastAsia" w:ascii="宋体" w:hAnsi="宋体"/>
          <w:color w:val="auto"/>
          <w:sz w:val="24"/>
          <w:szCs w:val="24"/>
          <w:highlight w:val="none"/>
          <w:lang w:val="zh-TW"/>
        </w:rPr>
        <w:t>；</w:t>
      </w:r>
      <w:r>
        <w:rPr>
          <w:rFonts w:hint="eastAsia" w:ascii="宋体" w:hAnsi="宋体"/>
          <w:color w:val="auto"/>
          <w:sz w:val="24"/>
          <w:szCs w:val="24"/>
          <w:highlight w:val="none"/>
          <w:lang w:val="zh-TW" w:eastAsia="zh-CN"/>
        </w:rPr>
        <w:t>服务每满</w:t>
      </w:r>
      <w:r>
        <w:rPr>
          <w:rFonts w:hint="eastAsia" w:ascii="宋体" w:hAnsi="宋体"/>
          <w:color w:val="auto"/>
          <w:sz w:val="24"/>
          <w:szCs w:val="24"/>
          <w:highlight w:val="none"/>
          <w:lang w:val="zh-TW"/>
        </w:rPr>
        <w:t>两个月</w:t>
      </w:r>
      <w:r>
        <w:rPr>
          <w:rFonts w:hint="eastAsia" w:ascii="宋体" w:hAnsi="宋体"/>
          <w:color w:val="auto"/>
          <w:sz w:val="24"/>
          <w:szCs w:val="24"/>
          <w:highlight w:val="none"/>
          <w:lang w:val="zh-TW" w:eastAsia="zh-CN"/>
        </w:rPr>
        <w:t>后</w:t>
      </w:r>
      <w:r>
        <w:rPr>
          <w:rFonts w:hint="eastAsia" w:ascii="宋体" w:hAnsi="宋体"/>
          <w:color w:val="auto"/>
          <w:sz w:val="24"/>
          <w:szCs w:val="24"/>
          <w:highlight w:val="none"/>
          <w:lang w:val="zh-TW"/>
        </w:rPr>
        <w:t>付</w:t>
      </w:r>
      <w:r>
        <w:rPr>
          <w:rFonts w:hint="eastAsia" w:ascii="宋体" w:hAnsi="宋体"/>
          <w:color w:val="auto"/>
          <w:sz w:val="24"/>
          <w:szCs w:val="24"/>
          <w:highlight w:val="none"/>
        </w:rPr>
        <w:t>合同价的</w:t>
      </w:r>
      <w:r>
        <w:rPr>
          <w:rFonts w:hint="eastAsia" w:ascii="宋体" w:hAnsi="宋体"/>
          <w:color w:val="auto"/>
          <w:sz w:val="24"/>
          <w:szCs w:val="24"/>
          <w:highlight w:val="none"/>
          <w:lang w:val="zh-TW"/>
        </w:rPr>
        <w:t>25％，</w:t>
      </w:r>
      <w:r>
        <w:rPr>
          <w:rFonts w:hint="eastAsia" w:ascii="宋体" w:hAnsi="宋体"/>
          <w:color w:val="auto"/>
          <w:sz w:val="24"/>
          <w:szCs w:val="24"/>
          <w:highlight w:val="none"/>
          <w:lang w:val="zh-TW" w:eastAsia="zh-CN"/>
        </w:rPr>
        <w:t>剩余</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lang w:val="zh-TW"/>
        </w:rPr>
        <w:t>％</w:t>
      </w:r>
      <w:r>
        <w:rPr>
          <w:rFonts w:hint="eastAsia" w:ascii="宋体" w:hAnsi="宋体"/>
          <w:color w:val="auto"/>
          <w:sz w:val="24"/>
          <w:szCs w:val="24"/>
          <w:highlight w:val="none"/>
          <w:lang w:val="zh-TW" w:eastAsia="zh-CN"/>
        </w:rPr>
        <w:t>于验收合格后一次性付清</w:t>
      </w:r>
      <w:r>
        <w:rPr>
          <w:rFonts w:hint="eastAsia" w:ascii="宋体" w:hAnsi="宋体"/>
          <w:color w:val="auto"/>
          <w:sz w:val="24"/>
          <w:szCs w:val="24"/>
          <w:highlight w:val="none"/>
          <w:lang w:val="zh-TW"/>
        </w:rPr>
        <w:t>。</w:t>
      </w:r>
    </w:p>
    <w:p w14:paraId="10C30CCA">
      <w:pPr>
        <w:spacing w:line="440" w:lineRule="exact"/>
        <w:ind w:firstLine="539"/>
        <w:rPr>
          <w:rFonts w:hint="eastAsia" w:ascii="宋体" w:hAnsi="宋体"/>
          <w:color w:val="auto"/>
          <w:sz w:val="24"/>
          <w:szCs w:val="24"/>
          <w:highlight w:val="none"/>
          <w:lang w:val="zh-TW"/>
        </w:rPr>
      </w:pPr>
      <w:r>
        <w:rPr>
          <w:rFonts w:hint="eastAsia" w:ascii="宋体" w:hAnsi="宋体"/>
          <w:color w:val="auto"/>
          <w:sz w:val="24"/>
          <w:szCs w:val="24"/>
          <w:highlight w:val="none"/>
        </w:rPr>
        <w:t>8.4</w:t>
      </w:r>
      <w:r>
        <w:rPr>
          <w:rFonts w:hint="eastAsia" w:ascii="宋体" w:hAnsi="宋体"/>
          <w:color w:val="auto"/>
          <w:sz w:val="24"/>
          <w:szCs w:val="24"/>
          <w:highlight w:val="none"/>
          <w:lang w:val="zh-TW"/>
        </w:rPr>
        <w:t>乙方应当自合同签订之日起按约定开具预付款发票，甲方自收到发票之日起10个工作日内完成预付款支付。因乙方未开具预付款发票导致甲方未及时完成预付款支付的，由乙方承担相关责任。乙方需与甲方单位项目负责人确定好开具发票时间，并在发票开具后第一时间送达至甲方项目负责人手中。</w:t>
      </w:r>
    </w:p>
    <w:p w14:paraId="79D516B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8.5付款方式：</w:t>
      </w:r>
      <w:r>
        <w:rPr>
          <w:rFonts w:hint="eastAsia" w:ascii="宋体" w:hAnsi="宋体"/>
          <w:b/>
          <w:bCs/>
          <w:color w:val="auto"/>
          <w:sz w:val="24"/>
          <w:szCs w:val="24"/>
          <w:highlight w:val="yellow"/>
          <w:lang w:val="en-US" w:eastAsia="zh-CN"/>
        </w:rPr>
        <w:t>押一付一，甲方在合同第二年支付乙方上一年的费用。</w:t>
      </w:r>
    </w:p>
    <w:p w14:paraId="3DF69B30">
      <w:pPr>
        <w:spacing w:line="440" w:lineRule="exact"/>
        <w:ind w:firstLine="539"/>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说明：本合同费用包括范围内相应人员的工资、员工保险福利、设备配置费用、平台及运营费用、宣传费用、办公费用、分拣中心运营及维护管理费、税金、车辆运维费用以及其他可能会产生的所有费用。</w:t>
      </w:r>
    </w:p>
    <w:p w14:paraId="08581DD0">
      <w:pPr>
        <w:pStyle w:val="8"/>
        <w:rPr>
          <w:rFonts w:hint="eastAsia"/>
          <w:lang w:val="zh-TW"/>
        </w:rPr>
      </w:pPr>
    </w:p>
    <w:p w14:paraId="08479962">
      <w:pPr>
        <w:spacing w:before="120" w:after="120"/>
        <w:ind w:firstLine="669"/>
        <w:jc w:val="left"/>
        <w:rPr>
          <w:rFonts w:hint="eastAsia" w:ascii="宋体" w:hAnsi="宋体"/>
          <w:sz w:val="24"/>
          <w:szCs w:val="24"/>
        </w:rPr>
      </w:pPr>
      <w:r>
        <w:rPr>
          <w:rFonts w:hint="eastAsia" w:ascii="宋体" w:hAnsi="宋体"/>
          <w:sz w:val="24"/>
          <w:szCs w:val="24"/>
        </w:rPr>
        <w:t xml:space="preserve">甲方开票信息： </w:t>
      </w:r>
    </w:p>
    <w:p w14:paraId="3DF046D7">
      <w:pPr>
        <w:spacing w:before="120" w:after="120"/>
        <w:ind w:firstLine="669"/>
        <w:jc w:val="left"/>
        <w:rPr>
          <w:rFonts w:hint="eastAsia" w:ascii="宋体" w:hAnsi="宋体"/>
          <w:sz w:val="24"/>
          <w:szCs w:val="24"/>
        </w:rPr>
      </w:pPr>
      <w:r>
        <w:rPr>
          <w:rFonts w:hint="eastAsia" w:ascii="宋体" w:hAnsi="宋体"/>
          <w:sz w:val="24"/>
          <w:szCs w:val="24"/>
        </w:rPr>
        <w:t xml:space="preserve">名称: </w:t>
      </w:r>
    </w:p>
    <w:p w14:paraId="52001F1E">
      <w:pPr>
        <w:spacing w:before="120" w:after="120"/>
        <w:ind w:firstLine="669"/>
        <w:jc w:val="left"/>
        <w:rPr>
          <w:rFonts w:hint="eastAsia" w:ascii="宋体" w:hAnsi="宋体"/>
          <w:sz w:val="24"/>
          <w:szCs w:val="24"/>
        </w:rPr>
      </w:pPr>
      <w:r>
        <w:rPr>
          <w:rFonts w:hint="eastAsia" w:ascii="宋体" w:hAnsi="宋体"/>
          <w:sz w:val="24"/>
          <w:szCs w:val="24"/>
        </w:rPr>
        <w:t xml:space="preserve">纳税号: </w:t>
      </w:r>
    </w:p>
    <w:p w14:paraId="63B456DB">
      <w:pPr>
        <w:spacing w:before="120" w:after="120"/>
        <w:ind w:firstLine="669"/>
        <w:jc w:val="left"/>
        <w:rPr>
          <w:rFonts w:hint="eastAsia" w:ascii="宋体" w:hAnsi="宋体"/>
          <w:sz w:val="24"/>
          <w:szCs w:val="24"/>
        </w:rPr>
      </w:pPr>
      <w:r>
        <w:rPr>
          <w:rFonts w:hint="eastAsia" w:ascii="宋体" w:hAnsi="宋体"/>
          <w:sz w:val="24"/>
          <w:szCs w:val="24"/>
        </w:rPr>
        <w:t xml:space="preserve">单位银行账号户名: </w:t>
      </w:r>
    </w:p>
    <w:p w14:paraId="55D2C541">
      <w:pPr>
        <w:spacing w:before="120" w:after="120"/>
        <w:ind w:firstLine="669"/>
        <w:jc w:val="left"/>
        <w:rPr>
          <w:rFonts w:hint="eastAsia" w:ascii="宋体" w:hAnsi="宋体"/>
          <w:sz w:val="24"/>
          <w:szCs w:val="24"/>
        </w:rPr>
      </w:pPr>
      <w:r>
        <w:rPr>
          <w:rFonts w:hint="eastAsia" w:ascii="宋体" w:hAnsi="宋体"/>
          <w:sz w:val="24"/>
          <w:szCs w:val="24"/>
        </w:rPr>
        <w:t xml:space="preserve">开户行: </w:t>
      </w:r>
    </w:p>
    <w:p w14:paraId="5B69F893">
      <w:pPr>
        <w:spacing w:before="120" w:after="120"/>
        <w:ind w:firstLine="669"/>
        <w:jc w:val="left"/>
        <w:rPr>
          <w:rFonts w:hint="eastAsia" w:ascii="宋体" w:hAnsi="宋体"/>
          <w:sz w:val="24"/>
          <w:szCs w:val="24"/>
        </w:rPr>
      </w:pPr>
      <w:r>
        <w:rPr>
          <w:rFonts w:hint="eastAsia" w:ascii="宋体" w:hAnsi="宋体"/>
          <w:sz w:val="24"/>
          <w:szCs w:val="24"/>
        </w:rPr>
        <w:t xml:space="preserve">账号: </w:t>
      </w:r>
    </w:p>
    <w:p w14:paraId="642D7135">
      <w:pPr>
        <w:spacing w:before="120" w:after="120"/>
        <w:ind w:firstLine="669"/>
        <w:jc w:val="left"/>
        <w:rPr>
          <w:rFonts w:hint="eastAsia" w:ascii="宋体" w:hAnsi="宋体"/>
          <w:sz w:val="24"/>
          <w:szCs w:val="24"/>
        </w:rPr>
      </w:pPr>
      <w:r>
        <w:rPr>
          <w:rFonts w:hint="eastAsia" w:ascii="宋体" w:hAnsi="宋体"/>
          <w:sz w:val="24"/>
          <w:szCs w:val="24"/>
        </w:rPr>
        <w:t xml:space="preserve">单位地址: </w:t>
      </w:r>
    </w:p>
    <w:p w14:paraId="36CA04AC">
      <w:pPr>
        <w:spacing w:before="120" w:after="120"/>
        <w:ind w:firstLine="669"/>
        <w:jc w:val="left"/>
        <w:rPr>
          <w:rFonts w:hint="eastAsia" w:ascii="宋体" w:hAnsi="宋体"/>
          <w:sz w:val="24"/>
          <w:szCs w:val="24"/>
        </w:rPr>
      </w:pPr>
      <w:r>
        <w:rPr>
          <w:rFonts w:hint="eastAsia" w:ascii="宋体" w:hAnsi="宋体"/>
          <w:sz w:val="24"/>
          <w:szCs w:val="24"/>
        </w:rPr>
        <w:t xml:space="preserve">项目负责 联系人: </w:t>
      </w:r>
    </w:p>
    <w:p w14:paraId="445758DE">
      <w:pPr>
        <w:spacing w:before="120" w:after="120"/>
        <w:ind w:firstLine="669"/>
        <w:jc w:val="left"/>
        <w:rPr>
          <w:rFonts w:hint="eastAsia" w:ascii="宋体" w:hAnsi="宋体"/>
          <w:sz w:val="24"/>
          <w:szCs w:val="24"/>
        </w:rPr>
      </w:pPr>
      <w:r>
        <w:rPr>
          <w:rFonts w:hint="eastAsia" w:ascii="宋体" w:hAnsi="宋体"/>
          <w:sz w:val="24"/>
          <w:szCs w:val="24"/>
        </w:rPr>
        <w:t xml:space="preserve">联系电话: </w:t>
      </w:r>
    </w:p>
    <w:p w14:paraId="39746827">
      <w:pPr>
        <w:spacing w:before="120" w:after="120"/>
        <w:ind w:firstLine="669"/>
        <w:jc w:val="left"/>
        <w:rPr>
          <w:rFonts w:hint="eastAsia" w:ascii="宋体" w:hAnsi="宋体"/>
          <w:sz w:val="24"/>
          <w:szCs w:val="24"/>
        </w:rPr>
      </w:pPr>
      <w:r>
        <w:rPr>
          <w:rFonts w:hint="eastAsia" w:ascii="宋体" w:hAnsi="宋体"/>
          <w:sz w:val="24"/>
          <w:szCs w:val="24"/>
        </w:rPr>
        <w:t xml:space="preserve">乙方开票信息： </w:t>
      </w:r>
    </w:p>
    <w:p w14:paraId="5C1AF756">
      <w:pPr>
        <w:spacing w:before="120" w:after="120"/>
        <w:ind w:firstLine="669"/>
        <w:jc w:val="left"/>
        <w:rPr>
          <w:rFonts w:hint="eastAsia" w:ascii="宋体" w:hAnsi="宋体"/>
          <w:sz w:val="24"/>
          <w:szCs w:val="24"/>
        </w:rPr>
      </w:pPr>
      <w:r>
        <w:rPr>
          <w:rFonts w:hint="eastAsia" w:ascii="宋体" w:hAnsi="宋体"/>
          <w:sz w:val="24"/>
          <w:szCs w:val="24"/>
        </w:rPr>
        <w:t xml:space="preserve">名称: </w:t>
      </w:r>
    </w:p>
    <w:p w14:paraId="33673FB4">
      <w:pPr>
        <w:spacing w:before="120" w:after="120"/>
        <w:ind w:firstLine="669"/>
        <w:jc w:val="left"/>
        <w:rPr>
          <w:rFonts w:hint="eastAsia" w:ascii="宋体" w:hAnsi="宋体"/>
          <w:sz w:val="24"/>
          <w:szCs w:val="24"/>
        </w:rPr>
      </w:pPr>
      <w:r>
        <w:rPr>
          <w:rFonts w:hint="eastAsia" w:ascii="宋体" w:hAnsi="宋体"/>
          <w:sz w:val="24"/>
          <w:szCs w:val="24"/>
        </w:rPr>
        <w:t xml:space="preserve">纳税号: </w:t>
      </w:r>
    </w:p>
    <w:p w14:paraId="57C8F16B">
      <w:pPr>
        <w:spacing w:before="120" w:after="120"/>
        <w:ind w:firstLine="669"/>
        <w:jc w:val="left"/>
        <w:rPr>
          <w:rFonts w:hint="eastAsia" w:ascii="宋体" w:hAnsi="宋体"/>
          <w:sz w:val="24"/>
          <w:szCs w:val="24"/>
        </w:rPr>
      </w:pPr>
      <w:r>
        <w:rPr>
          <w:rFonts w:hint="eastAsia" w:ascii="宋体" w:hAnsi="宋体"/>
          <w:sz w:val="24"/>
          <w:szCs w:val="24"/>
        </w:rPr>
        <w:t xml:space="preserve">单位银行账号户名: </w:t>
      </w:r>
    </w:p>
    <w:p w14:paraId="06E1C888">
      <w:pPr>
        <w:spacing w:before="120" w:after="120"/>
        <w:ind w:firstLine="669"/>
        <w:jc w:val="left"/>
        <w:rPr>
          <w:rFonts w:hint="eastAsia" w:ascii="宋体" w:hAnsi="宋体"/>
          <w:sz w:val="24"/>
          <w:szCs w:val="24"/>
        </w:rPr>
      </w:pPr>
      <w:r>
        <w:rPr>
          <w:rFonts w:hint="eastAsia" w:ascii="宋体" w:hAnsi="宋体"/>
          <w:sz w:val="24"/>
          <w:szCs w:val="24"/>
        </w:rPr>
        <w:t xml:space="preserve">开户行: </w:t>
      </w:r>
    </w:p>
    <w:p w14:paraId="081323D2">
      <w:pPr>
        <w:spacing w:before="120" w:after="120"/>
        <w:ind w:firstLine="669"/>
        <w:jc w:val="left"/>
        <w:rPr>
          <w:rFonts w:hint="eastAsia" w:ascii="宋体" w:hAnsi="宋体"/>
          <w:sz w:val="24"/>
          <w:szCs w:val="24"/>
        </w:rPr>
      </w:pPr>
      <w:r>
        <w:rPr>
          <w:rFonts w:hint="eastAsia" w:ascii="宋体" w:hAnsi="宋体"/>
          <w:sz w:val="24"/>
          <w:szCs w:val="24"/>
        </w:rPr>
        <w:t xml:space="preserve">账号: </w:t>
      </w:r>
    </w:p>
    <w:p w14:paraId="511D9417">
      <w:pPr>
        <w:spacing w:before="120" w:after="120"/>
        <w:ind w:firstLine="669"/>
        <w:jc w:val="left"/>
        <w:rPr>
          <w:rFonts w:hint="eastAsia" w:ascii="宋体" w:hAnsi="宋体"/>
          <w:sz w:val="24"/>
          <w:szCs w:val="24"/>
        </w:rPr>
      </w:pPr>
      <w:r>
        <w:rPr>
          <w:rFonts w:hint="eastAsia" w:ascii="宋体" w:hAnsi="宋体"/>
          <w:sz w:val="24"/>
          <w:szCs w:val="24"/>
        </w:rPr>
        <w:t xml:space="preserve">单位地址: </w:t>
      </w:r>
    </w:p>
    <w:p w14:paraId="1C94F3AD">
      <w:pPr>
        <w:spacing w:before="120" w:after="120"/>
        <w:ind w:firstLine="669"/>
        <w:jc w:val="left"/>
        <w:rPr>
          <w:rFonts w:hint="eastAsia" w:ascii="宋体" w:hAnsi="宋体"/>
          <w:sz w:val="24"/>
          <w:szCs w:val="24"/>
        </w:rPr>
      </w:pPr>
      <w:r>
        <w:rPr>
          <w:rFonts w:hint="eastAsia" w:ascii="宋体" w:hAnsi="宋体"/>
          <w:sz w:val="24"/>
          <w:szCs w:val="24"/>
        </w:rPr>
        <w:t xml:space="preserve">联系电话: </w:t>
      </w:r>
    </w:p>
    <w:p w14:paraId="5F95C717">
      <w:pPr>
        <w:snapToGrid w:val="0"/>
        <w:spacing w:before="145" w:beforeLines="50" w:after="145" w:afterLines="50" w:line="440" w:lineRule="exact"/>
        <w:rPr>
          <w:rFonts w:hint="eastAsia" w:ascii="宋体" w:hAnsi="宋体" w:cs="Courier New"/>
          <w:b/>
          <w:sz w:val="24"/>
          <w:szCs w:val="24"/>
        </w:rPr>
      </w:pPr>
      <w:r>
        <w:rPr>
          <w:rFonts w:hint="eastAsia" w:ascii="宋体" w:hAnsi="宋体" w:cs="Courier New"/>
          <w:b/>
          <w:sz w:val="24"/>
          <w:szCs w:val="24"/>
        </w:rPr>
        <w:t>九、税费</w:t>
      </w:r>
    </w:p>
    <w:p w14:paraId="21F15937">
      <w:pPr>
        <w:spacing w:line="440" w:lineRule="exact"/>
        <w:ind w:firstLine="539"/>
        <w:rPr>
          <w:rFonts w:hint="eastAsia" w:ascii="宋体" w:hAnsi="宋体"/>
          <w:color w:val="auto"/>
          <w:sz w:val="24"/>
          <w:szCs w:val="24"/>
          <w:highlight w:val="none"/>
          <w:lang w:val="zh-TW"/>
        </w:rPr>
      </w:pPr>
      <w:r>
        <w:rPr>
          <w:rFonts w:hint="eastAsia" w:ascii="宋体" w:hAnsi="宋体"/>
          <w:color w:val="auto"/>
          <w:sz w:val="24"/>
          <w:szCs w:val="24"/>
          <w:highlight w:val="none"/>
          <w:lang w:val="zh-TW"/>
        </w:rPr>
        <w:t>9.1本合同执行中相关的一切税费均由乙方负担。</w:t>
      </w:r>
    </w:p>
    <w:p w14:paraId="18B1539B">
      <w:pPr>
        <w:snapToGrid w:val="0"/>
        <w:spacing w:before="145" w:beforeLines="50" w:after="145" w:afterLines="50" w:line="440" w:lineRule="exact"/>
        <w:rPr>
          <w:rFonts w:hint="eastAsia" w:ascii="宋体" w:hAnsi="宋体" w:cs="Courier New"/>
          <w:b/>
          <w:sz w:val="24"/>
          <w:szCs w:val="24"/>
        </w:rPr>
      </w:pPr>
      <w:r>
        <w:rPr>
          <w:rFonts w:hint="eastAsia" w:ascii="宋体" w:hAnsi="宋体" w:cs="Courier New"/>
          <w:b/>
          <w:sz w:val="24"/>
          <w:szCs w:val="24"/>
          <w:lang w:val="en-US" w:eastAsia="zh-CN"/>
        </w:rPr>
        <w:t>十、</w:t>
      </w:r>
      <w:r>
        <w:rPr>
          <w:rFonts w:hint="eastAsia" w:ascii="宋体" w:hAnsi="宋体" w:cs="Courier New"/>
          <w:b/>
          <w:sz w:val="24"/>
          <w:szCs w:val="24"/>
        </w:rPr>
        <w:t>服务项目主要内容</w:t>
      </w:r>
    </w:p>
    <w:p w14:paraId="7AD7117E">
      <w:pPr>
        <w:spacing w:line="440" w:lineRule="exact"/>
        <w:ind w:firstLine="539"/>
        <w:rPr>
          <w:rFonts w:hint="eastAsia" w:ascii="宋体" w:hAnsi="宋体"/>
          <w:color w:val="auto"/>
          <w:sz w:val="24"/>
          <w:szCs w:val="24"/>
          <w:highlight w:val="none"/>
          <w:lang w:val="zh-TW"/>
        </w:rPr>
      </w:pPr>
      <w:r>
        <w:rPr>
          <w:rFonts w:hint="eastAsia" w:ascii="宋体" w:hAnsi="宋体"/>
          <w:color w:val="auto"/>
          <w:sz w:val="24"/>
          <w:szCs w:val="24"/>
          <w:highlight w:val="none"/>
          <w:lang w:val="zh-TW"/>
        </w:rPr>
        <w:t>本项目招标范围内扬中市西来桥镇的集镇区域内垃圾的分拣与收集、西来桥镇垃圾的转运与（垃圾中转站-处置终端）处置（临时堆放点-处置终端）等服务。具体项目内容如下：</w:t>
      </w:r>
    </w:p>
    <w:p w14:paraId="7B032774">
      <w:pPr>
        <w:spacing w:line="440" w:lineRule="exact"/>
        <w:ind w:firstLine="539"/>
        <w:rPr>
          <w:rFonts w:hint="eastAsia" w:ascii="宋体" w:hAnsi="宋体"/>
          <w:color w:val="auto"/>
          <w:sz w:val="24"/>
          <w:szCs w:val="24"/>
          <w:highlight w:val="none"/>
          <w:lang w:val="zh-TW"/>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val="zh-TW"/>
        </w:rPr>
        <w:t>1集镇区域内垃圾收集</w:t>
      </w:r>
    </w:p>
    <w:p w14:paraId="350D18B9">
      <w:pPr>
        <w:spacing w:line="440" w:lineRule="exact"/>
        <w:ind w:firstLine="539"/>
        <w:rPr>
          <w:rFonts w:hint="eastAsia" w:ascii="宋体" w:hAnsi="宋体"/>
          <w:color w:val="auto"/>
          <w:sz w:val="24"/>
          <w:szCs w:val="24"/>
          <w:highlight w:val="none"/>
          <w:lang w:val="zh-TW"/>
        </w:rPr>
      </w:pPr>
      <w:r>
        <w:rPr>
          <w:rFonts w:hint="eastAsia" w:ascii="宋体" w:hAnsi="宋体"/>
          <w:color w:val="auto"/>
          <w:sz w:val="24"/>
          <w:szCs w:val="24"/>
          <w:highlight w:val="none"/>
          <w:lang w:val="zh-TW"/>
        </w:rPr>
        <w:t>（1）道路清扫作业和沿途垃圾收集容器清掏所产生生活垃圾的收集、清运。</w:t>
      </w:r>
    </w:p>
    <w:p w14:paraId="42C9E154">
      <w:pPr>
        <w:spacing w:line="440" w:lineRule="exact"/>
        <w:ind w:firstLine="539"/>
        <w:rPr>
          <w:rFonts w:hint="eastAsia" w:ascii="宋体" w:hAnsi="宋体"/>
          <w:color w:val="auto"/>
          <w:sz w:val="24"/>
          <w:szCs w:val="24"/>
          <w:highlight w:val="none"/>
          <w:lang w:val="zh-TW"/>
        </w:rPr>
      </w:pPr>
      <w:r>
        <w:rPr>
          <w:rFonts w:hint="eastAsia" w:ascii="宋体" w:hAnsi="宋体"/>
          <w:color w:val="auto"/>
          <w:sz w:val="24"/>
          <w:szCs w:val="24"/>
          <w:highlight w:val="none"/>
          <w:lang w:val="zh-TW"/>
        </w:rPr>
        <w:t>（2）辖区内委托服务的单位、居民小区产生生活垃圾的收集、清运。</w:t>
      </w:r>
    </w:p>
    <w:p w14:paraId="59E43ACE">
      <w:pPr>
        <w:spacing w:line="440" w:lineRule="exact"/>
        <w:ind w:firstLine="539"/>
        <w:rPr>
          <w:rFonts w:hint="eastAsia" w:ascii="宋体" w:hAnsi="宋体"/>
          <w:color w:val="auto"/>
          <w:sz w:val="24"/>
          <w:szCs w:val="24"/>
          <w:highlight w:val="none"/>
          <w:lang w:val="zh-TW"/>
        </w:rPr>
      </w:pPr>
      <w:r>
        <w:rPr>
          <w:rFonts w:hint="eastAsia" w:ascii="宋体" w:hAnsi="宋体"/>
          <w:color w:val="auto"/>
          <w:sz w:val="24"/>
          <w:szCs w:val="24"/>
          <w:highlight w:val="none"/>
          <w:lang w:val="zh-TW"/>
        </w:rPr>
        <w:t>（3）辖区内无主生活垃圾、农作物垃圾、建筑圾和有毒有害的收集、清运。</w:t>
      </w:r>
    </w:p>
    <w:p w14:paraId="6628C11D">
      <w:pPr>
        <w:spacing w:line="440" w:lineRule="exact"/>
        <w:ind w:firstLine="539"/>
        <w:rPr>
          <w:rFonts w:hint="eastAsia" w:ascii="宋体" w:hAnsi="宋体"/>
          <w:color w:val="auto"/>
          <w:sz w:val="24"/>
          <w:szCs w:val="24"/>
          <w:highlight w:val="none"/>
          <w:lang w:val="zh-TW"/>
        </w:rPr>
      </w:pPr>
      <w:r>
        <w:rPr>
          <w:rFonts w:hint="eastAsia" w:ascii="宋体" w:hAnsi="宋体"/>
          <w:color w:val="auto"/>
          <w:sz w:val="24"/>
          <w:szCs w:val="24"/>
          <w:highlight w:val="none"/>
          <w:lang w:val="zh-TW"/>
        </w:rPr>
        <w:t>（4）辖区内西来村3个自然埭约200个垃圾桶的收集、清运。</w:t>
      </w:r>
    </w:p>
    <w:p w14:paraId="3E6CA40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10.2垃圾转运和处置</w:t>
      </w:r>
    </w:p>
    <w:p w14:paraId="1098FEE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（1）负责西来桥镇垃圾中转站和垃圾临时堆放点的日常运行。</w:t>
      </w:r>
    </w:p>
    <w:p w14:paraId="547929C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（2）垃圾中转站接受各村社区（五村一社区）生活垃圾。</w:t>
      </w:r>
    </w:p>
    <w:p w14:paraId="0B298AA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（3）生活垃圾收集至镇垃圾中转站，经分拣、压缩等处理后转运至镇生活垃圾处置中心，日产日清。</w:t>
      </w:r>
    </w:p>
    <w:p w14:paraId="2839729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（4）集镇区域内建筑垃圾收集至垃圾临时堆放点。</w:t>
      </w:r>
    </w:p>
    <w:p w14:paraId="3CFC050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（5）集镇区域内农作物垃圾收集至垃圾临时堆放点，定期规范化处置（转运至市处置中心），每月至少清理一次。</w:t>
      </w:r>
    </w:p>
    <w:p w14:paraId="66884E07">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（6）集镇区域内有毒有害垃圾收集至垃圾临时堆放点，定期规范化处置（转运至市处置中心），一年至少清理两次。</w:t>
      </w:r>
    </w:p>
    <w:p w14:paraId="6524ECC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10.3特殊情况下的环卫保障</w:t>
      </w:r>
    </w:p>
    <w:p w14:paraId="0EE91D4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（1）突发应急事件或大型检查、重大活动保障等环卫应急保障。</w:t>
      </w:r>
    </w:p>
    <w:p w14:paraId="7157947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（2）雨雪冰雹强台风等自然灾害期间的环卫保障等。</w:t>
      </w:r>
    </w:p>
    <w:p w14:paraId="7C187BB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（3）投标人需自备巡查车辆，定期（8:00-18：00）对辖区内的垃圾池、封闭厂区、卫生死角等进行巡查，及时发现和阻止私乱倾倒、焚烧垃圾等破坏环境行为，并固定证据。</w:t>
      </w:r>
    </w:p>
    <w:p w14:paraId="272B12D5">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十一、作业量划分、作业要求和标准</w:t>
      </w:r>
    </w:p>
    <w:p w14:paraId="30CB27B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11.1作业服务范围</w:t>
      </w:r>
    </w:p>
    <w:p w14:paraId="47B92337">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（1）集镇区域（东至庆丰路，西至238省道，北至川心港路，南至园区大道。）内所有垃圾箱（房）、垃圾桶、果壳箱等垃圾收集容器。</w:t>
      </w:r>
    </w:p>
    <w:p w14:paraId="1D832A4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（2）富民工业园区道路两侧建筑物之间的等垃圾收集容器。</w:t>
      </w:r>
    </w:p>
    <w:p w14:paraId="0861CA5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（3）幸福花苑二期、三期及江南花苑、苏洋船厂内垃圾收集容器。</w:t>
      </w:r>
    </w:p>
    <w:p w14:paraId="1C96849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（4）集镇内西来村村域3个自然埭内200个垃圾桶。</w:t>
      </w:r>
    </w:p>
    <w:p w14:paraId="2547B4DC">
      <w:pPr>
        <w:spacing w:line="440" w:lineRule="exact"/>
        <w:ind w:firstLine="539"/>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注：垃圾容器收集完毕后必须防止指定原位，不得随意摆放。</w:t>
      </w:r>
    </w:p>
    <w:p w14:paraId="7AD0F66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11.2道路沿线垃圾收集清运要求</w:t>
      </w:r>
    </w:p>
    <w:p w14:paraId="074C543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 自备电动液压挂桶式垃圾分类清运车或密闭式垃圾清运车，垃圾送往指定的垃圾中转站；</w:t>
      </w:r>
    </w:p>
    <w:p w14:paraId="158A6FA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（2）清运车外表干净整洁，密闭运输，不抛撒滴漏；</w:t>
      </w:r>
    </w:p>
    <w:p w14:paraId="52622E8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道路沿线第一遍垃圾收集应在上午8:30前完成，全天候作业时间内巡回收集，保证垃圾容器不满溢；小区、工作、单位垃圾收集日产日清，小区垃圾收集不得低于一日二次，确保垃圾桶（池、房）和果壳箱内垃圾不满溢、不积压；</w:t>
      </w:r>
    </w:p>
    <w:p w14:paraId="3526BCF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（4）垃圾清运车辆遵守交通安全法规，办理第三者责任险。</w:t>
      </w:r>
    </w:p>
    <w:p w14:paraId="5ADD5D3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11.3无主垃圾清理的要求</w:t>
      </w:r>
    </w:p>
    <w:p w14:paraId="6F2B877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自备垃圾清运、装卸车辆，及时清运道路保洁范围内的无主建筑垃圾、无主装修垃圾、杂物等。</w:t>
      </w:r>
    </w:p>
    <w:p w14:paraId="2B6D790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11.4重大活动保障的要求</w:t>
      </w:r>
    </w:p>
    <w:p w14:paraId="2931D3F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无条件保障“卫生城市”、“文明城市”、城市管理长效考核等各类重大创建考核迎检活动；</w:t>
      </w:r>
    </w:p>
    <w:p w14:paraId="1258037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11.5灾害性天气应急保障的要求</w:t>
      </w:r>
    </w:p>
    <w:p w14:paraId="7C899FF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（1）台风天气后，将路边倾倒的树木及时清理到指定场地；</w:t>
      </w:r>
    </w:p>
    <w:p w14:paraId="6CF7A86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（2）高温季节，做好员工防暑降温工作，合理调整作业方案，提前报扬中市西来桥镇政府主管部门批准。</w:t>
      </w:r>
    </w:p>
    <w:p w14:paraId="099A4016">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十二、人员、设备投入要求</w:t>
      </w:r>
    </w:p>
    <w:p w14:paraId="26E7355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12.1投入人员数必须达到投标文件承诺人数，否则，甲方将按乙方实际用工人数比例拨付服务经费；若乙方一年内连续三个月或满六个月投入人员达不到最低作业人数的85%的，扣除乙方当年合同总费用的15%，且甲方有权解除合同。作业人员应经环境卫生专业培训后方可上岗作业。</w:t>
      </w:r>
    </w:p>
    <w:p w14:paraId="6C34672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12.2为保证城市环卫作业机械化水平，乙方应配齐服务所需的机械化作业车辆，车辆必须在合同实施前到位。</w:t>
      </w:r>
    </w:p>
    <w:p w14:paraId="58B36E9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12.3乙方所使用的作业车辆、机械和工具等一切费用，全部由乙方自行负责。 </w:t>
      </w:r>
    </w:p>
    <w:p w14:paraId="57C03452">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十四、甲方的权利和义务</w:t>
      </w:r>
    </w:p>
    <w:p w14:paraId="4E93191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14.1甲方提供垃圾转运场所，包括西来桥镇垃圾中转站、临时垃圾堆放点，其中垃圾中转站内公共设施维修由甲方负责。</w:t>
      </w:r>
    </w:p>
    <w:p w14:paraId="048CE43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14.2甲方有权组织对乙方作业质量、文明、安全作业情况进行的定期检查考评，有权查阅、复制服务项目的有关文件和资料以及进入现场开展检查，但不得干扰乙方的正常作业。</w:t>
      </w:r>
    </w:p>
    <w:p w14:paraId="50D9E7F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14.3因乙方经营管理不善，发生重大质量或发生生产安全事故，或乙方擅自停业歇业，严重影响社会公共利益，或乙方作业过程造成重大污染环境，或其他重大、紧急可能危及公共安全行为的，</w:t>
      </w:r>
      <w:r>
        <w:rPr>
          <w:rFonts w:hint="eastAsia" w:ascii="宋体" w:hAnsi="宋体"/>
          <w:b/>
          <w:bCs/>
          <w:color w:val="auto"/>
          <w:sz w:val="24"/>
          <w:szCs w:val="24"/>
          <w:highlight w:val="none"/>
          <w:lang w:val="en-US" w:eastAsia="zh-CN"/>
        </w:rPr>
        <w:t>甲方可以指派他人临时接管乙方的服务项目</w:t>
      </w:r>
      <w:r>
        <w:rPr>
          <w:rFonts w:hint="eastAsia" w:ascii="宋体" w:hAnsi="宋体"/>
          <w:color w:val="auto"/>
          <w:sz w:val="24"/>
          <w:szCs w:val="24"/>
          <w:highlight w:val="none"/>
          <w:lang w:val="en-US" w:eastAsia="zh-CN"/>
        </w:rPr>
        <w:t>，乙方须向甲方支付年度服务费用5%的违约金，并赔偿甲方因此而造成的其他经济损失，事故处理后是否恢复履行合同另行商定。</w:t>
      </w:r>
    </w:p>
    <w:p w14:paraId="67B21D9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14.4甲方有权协同劳动监察部门对乙方用工情况进行调查，甲方有权要求乙方按招标需求保障作业人员的福利待遇。甲方不承担任何由于乙方未办理劳动关系由此而产生的纠纷等责任。</w:t>
      </w:r>
    </w:p>
    <w:p w14:paraId="22E738F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14.5遇重大活动或检查突击任务需要时，甲方应及时通知乙方做好重点保洁保障工作。</w:t>
      </w:r>
    </w:p>
    <w:p w14:paraId="2112D087">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14.6甲方应积极协助乙方解决在服务期内出现的相关问题。</w:t>
      </w:r>
    </w:p>
    <w:p w14:paraId="3FC06BA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14.7乙方不得向中标服务范围内居民、商户收取任何费用，否则，甲方按照乙方收取费用的10倍扣减服务经费。</w:t>
      </w:r>
    </w:p>
    <w:p w14:paraId="5D2258DB">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十五、乙方的权利和义务</w:t>
      </w:r>
    </w:p>
    <w:p w14:paraId="0E9C199D">
      <w:pPr>
        <w:spacing w:line="440" w:lineRule="exact"/>
        <w:ind w:firstLine="539"/>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15.1合同签订时乙方需上交履约保证金10万元。</w:t>
      </w:r>
    </w:p>
    <w:p w14:paraId="78E5AEE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15.2乙方必须依照本合同规定的作业形式、作业质量标准及行业有关规范、作业质量标准，按时、保质、保量完成所服务作业项目范围、服务事项的工作。</w:t>
      </w:r>
    </w:p>
    <w:p w14:paraId="76CD8D7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15.3乙方及其雇用的员工应严格遵守国家的法律、法规，如果乙方及其所雇用的工人违反法律、法规和相关规定，所造成的后果由其自行负责，与甲方无关。</w:t>
      </w:r>
    </w:p>
    <w:p w14:paraId="725A867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15.4乙方必须根据国家、省、地方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1小时内报告扬中市西来桥镇人民政府。</w:t>
      </w:r>
    </w:p>
    <w:p w14:paraId="06068B8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15.5乙方须按国家的劳动法律法规规定和其招聘的符合劳动合同关系的员工签订劳动合同，依法向其支付劳动报酬（劳动报酬平均不得低于2880元/月/人）并为其办理养老、医疗、工伤等基本社会保险及保额80万元及以上的人身意外保险。若员工在服务过程中发生事故，乙方必须按照相关法律法规规定处理，与甲方无关。</w:t>
      </w:r>
    </w:p>
    <w:p w14:paraId="40C80FF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15.6乙方有义务参加甲方通知的相关会议，通报作业情况，完善作业措施，提高作业水平。</w:t>
      </w:r>
    </w:p>
    <w:p w14:paraId="49019BAB">
      <w:pPr>
        <w:spacing w:line="440" w:lineRule="exact"/>
        <w:ind w:firstLine="539"/>
        <w:rPr>
          <w:rFonts w:hint="eastAsia" w:ascii="宋体" w:hAnsi="宋体"/>
          <w:b/>
          <w:bCs/>
          <w:color w:val="auto"/>
          <w:sz w:val="24"/>
          <w:szCs w:val="24"/>
          <w:highlight w:val="none"/>
          <w:lang w:val="en-US" w:eastAsia="zh-CN"/>
        </w:rPr>
      </w:pPr>
      <w:r>
        <w:rPr>
          <w:rFonts w:hint="eastAsia" w:ascii="宋体" w:hAnsi="宋体"/>
          <w:color w:val="auto"/>
          <w:sz w:val="24"/>
          <w:szCs w:val="24"/>
          <w:highlight w:val="none"/>
          <w:lang w:val="en-US" w:eastAsia="zh-CN"/>
        </w:rPr>
        <w:t>15.7乙方必须自觉接受甲方及劳动监察部门的管理、监督和检查（如智能化监管等），根据需要提供相关的检查文件和资料，以及作必要的解释和说明，乙方不得阻挠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w:t>
      </w:r>
      <w:r>
        <w:rPr>
          <w:rFonts w:hint="eastAsia" w:ascii="宋体" w:hAnsi="宋体"/>
          <w:b/>
          <w:bCs/>
          <w:color w:val="auto"/>
          <w:sz w:val="24"/>
          <w:szCs w:val="24"/>
          <w:highlight w:val="none"/>
          <w:lang w:val="en-US" w:eastAsia="zh-CN"/>
        </w:rPr>
        <w:t>扣除解除合同当月的作业经费。</w:t>
      </w:r>
    </w:p>
    <w:p w14:paraId="195180C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15.8乙方必须对企业员工进行道德教育和工作培训。教育职工严格遵守国家法律法规及环卫作业操作规程。作业人员应经环卫专业培训后方可上岗作业。</w:t>
      </w:r>
    </w:p>
    <w:p w14:paraId="3B2CC73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15.9乙方在签订合同后5日内必须将合同一份送扬中市西来桥镇政府主管部门备案。</w:t>
      </w:r>
    </w:p>
    <w:p w14:paraId="4D11A6E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15.10乙方应不断提高企业管理水平和机械化作业能力，提高企业运营管理能力，保持、提高环卫作业资信等级，并按时向环卫作业资信等级审查机构办理年检。</w:t>
      </w:r>
    </w:p>
    <w:p w14:paraId="714943AE">
      <w:pPr>
        <w:spacing w:line="440" w:lineRule="exact"/>
        <w:ind w:firstLine="539"/>
        <w:rPr>
          <w:rFonts w:hint="default" w:ascii="宋体" w:hAnsi="宋体"/>
          <w:b/>
          <w:bCs/>
          <w:color w:val="auto"/>
          <w:sz w:val="24"/>
          <w:szCs w:val="24"/>
          <w:highlight w:val="yellow"/>
          <w:lang w:val="en-US" w:eastAsia="zh-CN"/>
        </w:rPr>
      </w:pPr>
      <w:r>
        <w:rPr>
          <w:rFonts w:hint="eastAsia" w:ascii="宋体" w:hAnsi="宋体"/>
          <w:b/>
          <w:bCs/>
          <w:color w:val="auto"/>
          <w:sz w:val="24"/>
          <w:szCs w:val="24"/>
          <w:highlight w:val="yellow"/>
          <w:lang w:val="en-US" w:eastAsia="zh-CN"/>
        </w:rPr>
        <w:t>15.11中标单位需租赁或购买相关机械车辆（重型特殊结构货车两辆、轻型特殊结构货车一辆，半吨、1.5吨 、3吨铲车各一辆 。租赁价格为6.5万元/年，购买价格以有资质的第三方评估价65万元为准）。</w:t>
      </w:r>
    </w:p>
    <w:p w14:paraId="15B4C8F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15.12乙方有权对甲方人员在检查考评乙方作业质量过程中的违规行为向甲方行政主管部门举报。</w:t>
      </w:r>
    </w:p>
    <w:p w14:paraId="3CE8E0D6">
      <w:pPr>
        <w:spacing w:line="440" w:lineRule="exact"/>
        <w:ind w:firstLine="539"/>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15.13乙方须重视投入本项目人员的稳定，其中项目负责人一年内不得发生变动。一年后，若因特殊情况需更换，乙方应提前一个月通知甲方，经甲方同意后方可替换并确保服务质量不因人员变动而受影响。</w:t>
      </w:r>
    </w:p>
    <w:p w14:paraId="618837AA">
      <w:pPr>
        <w:spacing w:line="440" w:lineRule="exact"/>
        <w:ind w:firstLine="539"/>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15.14乙方禁止将服务合同转包给他人，或肢解分包给他人。</w:t>
      </w:r>
    </w:p>
    <w:p w14:paraId="3133CAE3">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十六、质量考评</w:t>
      </w:r>
    </w:p>
    <w:p w14:paraId="07BA70D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乙方自愿接受甲方考核，全天候接受甲方工作安排，如遇相关检查考核导致扣分，直接扣除服务经费，发生一次，镇级扣1000元，市级扣5000元，省级扣20000元，国家级扣50000元。</w:t>
      </w:r>
      <w:r>
        <w:rPr>
          <w:rFonts w:hint="eastAsia" w:ascii="宋体" w:hAnsi="宋体"/>
          <w:b/>
          <w:bCs/>
          <w:color w:val="auto"/>
          <w:sz w:val="24"/>
          <w:szCs w:val="24"/>
          <w:highlight w:val="none"/>
          <w:lang w:val="en-US" w:eastAsia="zh-CN"/>
        </w:rPr>
        <w:t>如一个年度内乙方被镇江市及以上检查导致扣分的三次以上甲方有权解除合同。</w:t>
      </w:r>
    </w:p>
    <w:p w14:paraId="127E9414">
      <w:pPr>
        <w:widowControl w:val="0"/>
        <w:spacing w:line="600" w:lineRule="exact"/>
        <w:jc w:val="both"/>
        <w:rPr>
          <w:rFonts w:hint="eastAsia" w:ascii="宋体" w:hAnsi="宋体"/>
          <w:color w:val="auto"/>
          <w:sz w:val="24"/>
          <w:szCs w:val="24"/>
          <w:highlight w:val="none"/>
          <w:lang w:val="en-US" w:eastAsia="zh-CN"/>
        </w:rPr>
      </w:pPr>
      <w:r>
        <w:rPr>
          <w:rFonts w:hint="eastAsia" w:ascii="宋体" w:hAnsi="宋体" w:cs="Courier New"/>
          <w:b/>
          <w:sz w:val="24"/>
          <w:szCs w:val="24"/>
          <w:lang w:val="en-US" w:eastAsia="zh-CN"/>
        </w:rPr>
        <w:t>十七、</w:t>
      </w:r>
      <w:r>
        <w:rPr>
          <w:rFonts w:hint="eastAsia" w:ascii="宋体" w:hAnsi="宋体"/>
          <w:color w:val="auto"/>
          <w:sz w:val="24"/>
          <w:szCs w:val="24"/>
          <w:highlight w:val="none"/>
          <w:lang w:val="en-US" w:eastAsia="zh-CN"/>
        </w:rPr>
        <w:t>合同履行期间，如遇物价上涨、政策性调资等情况，相应的增支费用由乙方自行承担。</w:t>
      </w:r>
    </w:p>
    <w:p w14:paraId="2FC28CFF">
      <w:pPr>
        <w:snapToGrid w:val="0"/>
        <w:spacing w:before="145" w:beforeLines="50" w:after="145" w:afterLines="50" w:line="440" w:lineRule="exact"/>
        <w:rPr>
          <w:rFonts w:hint="eastAsia" w:ascii="宋体" w:hAnsi="宋体" w:cs="Courier New"/>
          <w:b/>
          <w:sz w:val="24"/>
          <w:szCs w:val="24"/>
        </w:rPr>
      </w:pPr>
      <w:r>
        <w:rPr>
          <w:rFonts w:hint="eastAsia" w:ascii="宋体" w:hAnsi="宋体" w:cs="Courier New"/>
          <w:b/>
          <w:sz w:val="24"/>
          <w:szCs w:val="24"/>
        </w:rPr>
        <w:t>十</w:t>
      </w:r>
      <w:r>
        <w:rPr>
          <w:rFonts w:hint="eastAsia" w:ascii="宋体" w:hAnsi="宋体" w:cs="Courier New"/>
          <w:b/>
          <w:sz w:val="24"/>
          <w:szCs w:val="24"/>
          <w:lang w:val="en-US" w:eastAsia="zh-CN"/>
        </w:rPr>
        <w:t>八</w:t>
      </w:r>
      <w:r>
        <w:rPr>
          <w:rFonts w:hint="eastAsia" w:ascii="宋体" w:hAnsi="宋体" w:cs="Courier New"/>
          <w:b/>
          <w:sz w:val="24"/>
          <w:szCs w:val="24"/>
        </w:rPr>
        <w:t>、项目验收</w:t>
      </w:r>
    </w:p>
    <w:p w14:paraId="3910DC2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18.1 甲方依法组织履约验收工作。</w:t>
      </w:r>
    </w:p>
    <w:p w14:paraId="49E0EDB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18.2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693D0F7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18.3 对于实际使用人和甲方分离的项目，甲方邀请实际使用人参与验收。</w:t>
      </w:r>
    </w:p>
    <w:p w14:paraId="61EC80C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18.4 如有必要，甲方邀请参加本项目的其他供应商或第三方专业机构及专家参与验收，相关意见将作为验收书的参考资料。</w:t>
      </w:r>
    </w:p>
    <w:p w14:paraId="162E008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18.5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4ABC014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18.6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7E6A977D">
      <w:pPr>
        <w:snapToGrid w:val="0"/>
        <w:spacing w:before="145" w:beforeLines="50" w:after="145" w:afterLines="50" w:line="440" w:lineRule="exact"/>
        <w:rPr>
          <w:rFonts w:hint="eastAsia" w:ascii="宋体" w:hAnsi="宋体" w:cs="Courier New"/>
          <w:b/>
          <w:sz w:val="24"/>
          <w:szCs w:val="24"/>
        </w:rPr>
      </w:pPr>
      <w:r>
        <w:rPr>
          <w:rFonts w:hint="eastAsia" w:ascii="宋体" w:hAnsi="宋体" w:cs="Courier New"/>
          <w:b/>
          <w:sz w:val="24"/>
          <w:szCs w:val="24"/>
        </w:rPr>
        <w:t>十</w:t>
      </w:r>
      <w:r>
        <w:rPr>
          <w:rFonts w:hint="eastAsia" w:ascii="宋体" w:hAnsi="宋体" w:cs="Courier New"/>
          <w:b/>
          <w:sz w:val="24"/>
          <w:szCs w:val="24"/>
          <w:lang w:val="en-US" w:eastAsia="zh-CN"/>
        </w:rPr>
        <w:t>九</w:t>
      </w:r>
      <w:r>
        <w:rPr>
          <w:rFonts w:hint="eastAsia" w:ascii="宋体" w:hAnsi="宋体" w:cs="Courier New"/>
          <w:b/>
          <w:sz w:val="24"/>
          <w:szCs w:val="24"/>
        </w:rPr>
        <w:t>、违约责任</w:t>
      </w:r>
    </w:p>
    <w:p w14:paraId="2C49ECC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19.1合同履行期间，乙方不得与甲方终止合同，确需终止合同的，需提前两个月书面通知甲方，并向甲方支付年度服务经费</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lang w:val="en-US" w:eastAsia="zh-CN"/>
        </w:rPr>
        <w:t>的违约金。</w:t>
      </w:r>
    </w:p>
    <w:p w14:paraId="5C3AB24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19.2 乙方违反本合同第十五条的约定，乙方隐瞒不报，及导致发生质量事故和安全事故的，依据情节严重程度，甲方有权解除本合同，乙方需向甲方支付年度服务经费</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lang w:val="en-US" w:eastAsia="zh-CN"/>
        </w:rPr>
        <w:t>的违约金，如造成甲方其他经济损失的，乙方还须承担损害赔偿责任。</w:t>
      </w:r>
    </w:p>
    <w:p w14:paraId="2FEAD4A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19.3 乙方违反本合同第十五条的规定，如由于乙方的原因不办理或无法取得服务许可，导致乙方不能从事环卫作业项目服务的，甲方有权解除本合同，同时乙方需向甲方支付年度服务经费</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lang w:val="en-US" w:eastAsia="zh-CN"/>
        </w:rPr>
        <w:t xml:space="preserve">的违约金。 </w:t>
      </w:r>
    </w:p>
    <w:p w14:paraId="15EA53B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19.4 乙方违反本合同第六条的规定，由于乙方自身的原因不能满足甲方对人员、设备投入要求的，本合同即自行终止，同时乙方需向甲方支付年度服务经费</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lang w:val="en-US" w:eastAsia="zh-CN"/>
        </w:rPr>
        <w:t>的违约金。</w:t>
      </w:r>
    </w:p>
    <w:p w14:paraId="7146FD93">
      <w:pPr>
        <w:snapToGrid w:val="0"/>
        <w:spacing w:before="145" w:beforeLines="50" w:after="145" w:afterLines="50" w:line="440" w:lineRule="exact"/>
        <w:rPr>
          <w:rFonts w:hint="eastAsia" w:ascii="宋体" w:hAnsi="宋体" w:cs="Courier New"/>
          <w:b/>
          <w:sz w:val="24"/>
          <w:szCs w:val="24"/>
        </w:rPr>
      </w:pPr>
      <w:r>
        <w:rPr>
          <w:rFonts w:hint="eastAsia" w:ascii="宋体" w:hAnsi="宋体" w:cs="Courier New"/>
          <w:b/>
          <w:sz w:val="24"/>
          <w:szCs w:val="24"/>
        </w:rPr>
        <w:t>二</w:t>
      </w:r>
      <w:r>
        <w:rPr>
          <w:rFonts w:hint="eastAsia" w:ascii="宋体" w:hAnsi="宋体" w:cs="Courier New"/>
          <w:b/>
          <w:sz w:val="24"/>
          <w:szCs w:val="24"/>
          <w:lang w:val="en-US" w:eastAsia="zh-CN"/>
        </w:rPr>
        <w:t>十</w:t>
      </w:r>
      <w:r>
        <w:rPr>
          <w:rFonts w:hint="eastAsia" w:ascii="宋体" w:hAnsi="宋体" w:cs="Courier New"/>
          <w:b/>
          <w:sz w:val="24"/>
          <w:szCs w:val="24"/>
        </w:rPr>
        <w:t>、不可抗力事件处理</w:t>
      </w:r>
    </w:p>
    <w:p w14:paraId="5E86B97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20.1 在合同有效期内，任何一方因不可抗力事件导致不能履行合同，则合同履行期可延长，其延长期与不可抗力影响 期相同。</w:t>
      </w:r>
    </w:p>
    <w:p w14:paraId="5C8A907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20.2 不可抗力事件发生后，应立即通知对方，并寄送有关权威机构出具的证明。</w:t>
      </w:r>
    </w:p>
    <w:p w14:paraId="29C6CB6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20.3 不可抗力事件延续120天以上，双方应通过友好协商，确定是否继续履行合同。</w:t>
      </w:r>
    </w:p>
    <w:p w14:paraId="4E1E96C0">
      <w:pPr>
        <w:snapToGrid w:val="0"/>
        <w:spacing w:before="145" w:beforeLines="50" w:after="145" w:afterLines="50" w:line="440" w:lineRule="exact"/>
        <w:rPr>
          <w:rFonts w:hint="eastAsia" w:ascii="宋体" w:hAnsi="宋体" w:cs="Courier New"/>
          <w:b/>
          <w:sz w:val="24"/>
          <w:szCs w:val="24"/>
        </w:rPr>
      </w:pPr>
      <w:r>
        <w:rPr>
          <w:rFonts w:hint="eastAsia" w:ascii="宋体" w:hAnsi="宋体" w:cs="Courier New"/>
          <w:b/>
          <w:sz w:val="24"/>
          <w:szCs w:val="24"/>
          <w:lang w:val="en-US" w:eastAsia="zh-CN"/>
        </w:rPr>
        <w:t>二十一</w:t>
      </w:r>
      <w:r>
        <w:rPr>
          <w:rFonts w:hint="eastAsia" w:ascii="宋体" w:hAnsi="宋体" w:cs="Courier New"/>
          <w:b/>
          <w:sz w:val="24"/>
          <w:szCs w:val="24"/>
        </w:rPr>
        <w:t>、解决争议的方法</w:t>
      </w:r>
    </w:p>
    <w:p w14:paraId="420FE57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21.1在执行本合同中所发生的或与本合同有关的一切争端，甲方和乙方应通过友好协商的办法进行解决。如协商仍不能解决，则通过由甲方所在地人民法院诉讼。</w:t>
      </w:r>
    </w:p>
    <w:p w14:paraId="260C85D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21.2在诉讼期间，本合同应继续执行，如乙方在诉讼期间未能履行本合同义务的，乙方应向甲方支付年度服务费用10%的违约金。</w:t>
      </w:r>
    </w:p>
    <w:p w14:paraId="6CEDD6BF">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二十二、合同生效及其它</w:t>
      </w:r>
    </w:p>
    <w:p w14:paraId="3F03759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22.1</w:t>
      </w:r>
      <w:r>
        <w:rPr>
          <w:rFonts w:hint="eastAsia" w:ascii="宋体" w:hAnsi="宋体"/>
          <w:color w:val="auto"/>
          <w:sz w:val="24"/>
          <w:szCs w:val="24"/>
          <w:highlight w:val="none"/>
          <w:lang w:val="zh-TW" w:eastAsia="zh-TW"/>
        </w:rPr>
        <w:t>甲方</w:t>
      </w:r>
      <w:r>
        <w:rPr>
          <w:rFonts w:hint="eastAsia" w:ascii="宋体" w:hAnsi="宋体"/>
          <w:color w:val="auto"/>
          <w:sz w:val="24"/>
          <w:szCs w:val="24"/>
          <w:highlight w:val="none"/>
          <w:lang w:val="zh-TW" w:eastAsia="zh-CN"/>
        </w:rPr>
        <w:t>采购文件</w:t>
      </w:r>
      <w:r>
        <w:rPr>
          <w:rFonts w:hint="eastAsia" w:ascii="宋体" w:hAnsi="宋体"/>
          <w:color w:val="auto"/>
          <w:sz w:val="24"/>
          <w:szCs w:val="24"/>
          <w:highlight w:val="none"/>
          <w:lang w:val="zh-TW" w:eastAsia="zh-TW"/>
        </w:rPr>
        <w:t>、乙方投标文件、会议记录均为本合同的组成部分，具有同等法律效力。</w:t>
      </w:r>
    </w:p>
    <w:p w14:paraId="61B38C7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22.2合同应在甲方、乙方、代理机构签字后生效。</w:t>
      </w:r>
    </w:p>
    <w:p w14:paraId="4AC9059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22.3本合同一式</w:t>
      </w:r>
      <w:r>
        <w:rPr>
          <w:rFonts w:hint="eastAsia" w:ascii="宋体" w:hAnsi="宋体"/>
          <w:b/>
          <w:bCs/>
          <w:color w:val="auto"/>
          <w:sz w:val="24"/>
          <w:szCs w:val="24"/>
          <w:highlight w:val="none"/>
          <w:lang w:val="en-US" w:eastAsia="zh-CN"/>
        </w:rPr>
        <w:t>陆份</w:t>
      </w:r>
      <w:r>
        <w:rPr>
          <w:rFonts w:hint="eastAsia" w:ascii="宋体" w:hAnsi="宋体"/>
          <w:color w:val="auto"/>
          <w:sz w:val="24"/>
          <w:szCs w:val="24"/>
          <w:highlight w:val="none"/>
          <w:lang w:val="en-US" w:eastAsia="zh-CN"/>
        </w:rPr>
        <w:t>，以中文书写，甲方、乙方各执贰份，扬中市政府采购管理科、代理机构各执一份。</w:t>
      </w:r>
    </w:p>
    <w:p w14:paraId="6CA85AE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22.4本采购合同自签订之日起七个工作日内，政府采购代理机构将合同报市财政局备案，加盖“政府采购合同备案章”。</w:t>
      </w:r>
    </w:p>
    <w:p w14:paraId="6BF0D0A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22.5本合同在执行过程中，如随项目的深化，原定内容需修改的，应经甲方、乙方协商并签署变更协议，同时将该协议提供一份给代理机构。该协议将作为本合同不可分割的一部分。</w:t>
      </w:r>
    </w:p>
    <w:p w14:paraId="7CF59E1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22.6本合同应按照中华人民共和国的现行法律进行解释。</w:t>
      </w:r>
    </w:p>
    <w:p w14:paraId="1EF45981">
      <w:pPr>
        <w:spacing w:line="360" w:lineRule="auto"/>
        <w:rPr>
          <w:rFonts w:hint="eastAsia" w:ascii="仿宋_GB2312" w:hAnsi="仿宋_GB2312" w:eastAsia="仿宋_GB2312" w:cs="仿宋_GB2312"/>
          <w:b/>
          <w:bCs/>
          <w:color w:val="auto"/>
          <w:sz w:val="28"/>
          <w:szCs w:val="28"/>
        </w:rPr>
      </w:pPr>
    </w:p>
    <w:p w14:paraId="6D24217C">
      <w:pPr>
        <w:spacing w:line="440" w:lineRule="exact"/>
        <w:rPr>
          <w:rFonts w:ascii="宋体" w:hAnsi="宋体" w:cs="Courier New"/>
          <w:color w:val="000000"/>
          <w:sz w:val="24"/>
          <w:szCs w:val="24"/>
          <w:highlight w:val="none"/>
        </w:rPr>
      </w:pPr>
      <w:r>
        <w:rPr>
          <w:rFonts w:hint="eastAsia" w:ascii="宋体" w:hAnsi="宋体" w:cs="Courier New"/>
          <w:color w:val="000000"/>
          <w:sz w:val="24"/>
          <w:szCs w:val="24"/>
          <w:highlight w:val="none"/>
        </w:rPr>
        <w:t>甲方：（盖章）　　　　   　　      乙方：（盖章）</w:t>
      </w:r>
    </w:p>
    <w:p w14:paraId="48FC2924">
      <w:pPr>
        <w:spacing w:line="440" w:lineRule="exact"/>
        <w:rPr>
          <w:rFonts w:ascii="宋体" w:hAnsi="宋体" w:cs="Courier New"/>
          <w:color w:val="000000"/>
          <w:sz w:val="24"/>
          <w:szCs w:val="24"/>
          <w:highlight w:val="none"/>
        </w:rPr>
      </w:pPr>
      <w:r>
        <w:rPr>
          <w:rFonts w:hint="eastAsia" w:ascii="宋体" w:hAnsi="宋体" w:cs="Courier New"/>
          <w:color w:val="000000"/>
          <w:sz w:val="24"/>
          <w:szCs w:val="24"/>
          <w:highlight w:val="none"/>
        </w:rPr>
        <w:t>代表：（签字）　　　　   　　      代表：（签字）</w:t>
      </w:r>
    </w:p>
    <w:p w14:paraId="7110B064">
      <w:pPr>
        <w:spacing w:line="440" w:lineRule="exact"/>
        <w:rPr>
          <w:rFonts w:ascii="宋体" w:hAnsi="宋体" w:cs="Courier New"/>
          <w:color w:val="000000"/>
          <w:sz w:val="24"/>
          <w:szCs w:val="24"/>
          <w:highlight w:val="none"/>
        </w:rPr>
      </w:pPr>
      <w:r>
        <w:rPr>
          <w:rFonts w:hint="eastAsia" w:ascii="宋体" w:hAnsi="宋体" w:cs="Courier New"/>
          <w:color w:val="000000"/>
          <w:sz w:val="24"/>
          <w:szCs w:val="24"/>
          <w:highlight w:val="none"/>
        </w:rPr>
        <w:t>地址：                             地址：</w:t>
      </w:r>
    </w:p>
    <w:p w14:paraId="0B14B3D8">
      <w:pPr>
        <w:spacing w:line="440" w:lineRule="exact"/>
        <w:rPr>
          <w:rFonts w:hint="eastAsia" w:ascii="宋体" w:hAnsi="宋体" w:cs="Courier New"/>
          <w:color w:val="000000"/>
          <w:sz w:val="24"/>
          <w:szCs w:val="24"/>
          <w:highlight w:val="none"/>
        </w:rPr>
      </w:pPr>
      <w:r>
        <w:rPr>
          <w:rFonts w:hint="eastAsia" w:ascii="宋体" w:hAnsi="宋体" w:cs="Courier New"/>
          <w:color w:val="000000"/>
          <w:sz w:val="24"/>
          <w:szCs w:val="24"/>
          <w:highlight w:val="none"/>
        </w:rPr>
        <w:t>签约日期： 年 月 日</w:t>
      </w:r>
      <w:r>
        <w:rPr>
          <w:rFonts w:hint="eastAsia" w:ascii="宋体" w:hAnsi="宋体" w:cs="Courier New"/>
          <w:color w:val="000000"/>
          <w:sz w:val="24"/>
          <w:szCs w:val="24"/>
          <w:highlight w:val="none"/>
          <w:lang w:val="en-US" w:eastAsia="zh-CN"/>
        </w:rPr>
        <w:t xml:space="preserve">                </w:t>
      </w:r>
      <w:r>
        <w:rPr>
          <w:rFonts w:hint="eastAsia" w:ascii="宋体" w:hAnsi="宋体" w:cs="Courier New"/>
          <w:color w:val="000000"/>
          <w:sz w:val="24"/>
          <w:szCs w:val="24"/>
          <w:highlight w:val="none"/>
        </w:rPr>
        <w:t>签约日期： 年 月 日</w:t>
      </w:r>
    </w:p>
    <w:p w14:paraId="1F913587">
      <w:pPr>
        <w:spacing w:line="440" w:lineRule="exact"/>
        <w:rPr>
          <w:rFonts w:hint="eastAsia" w:ascii="宋体" w:hAnsi="宋体" w:cs="Courier New"/>
          <w:color w:val="000000"/>
          <w:sz w:val="24"/>
          <w:szCs w:val="24"/>
          <w:highlight w:val="none"/>
        </w:rPr>
      </w:pPr>
    </w:p>
    <w:p w14:paraId="7EB99CA5">
      <w:pPr>
        <w:spacing w:line="440" w:lineRule="exact"/>
        <w:rPr>
          <w:rFonts w:hint="eastAsia" w:ascii="宋体" w:hAnsi="宋体" w:cs="Courier New"/>
          <w:color w:val="000000"/>
          <w:sz w:val="24"/>
          <w:szCs w:val="24"/>
          <w:highlight w:val="none"/>
        </w:rPr>
      </w:pPr>
    </w:p>
    <w:p w14:paraId="2FA85BC1">
      <w:pPr>
        <w:spacing w:line="440" w:lineRule="exact"/>
        <w:jc w:val="left"/>
        <w:rPr>
          <w:rFonts w:ascii="宋体" w:hAnsi="宋体" w:cs="Courier New"/>
          <w:color w:val="000000"/>
          <w:sz w:val="24"/>
          <w:szCs w:val="24"/>
          <w:highlight w:val="none"/>
        </w:rPr>
      </w:pPr>
      <w:r>
        <w:rPr>
          <w:rFonts w:hint="eastAsia" w:ascii="宋体" w:hAnsi="宋体" w:cs="Courier New"/>
          <w:color w:val="000000"/>
          <w:sz w:val="24"/>
          <w:szCs w:val="24"/>
          <w:highlight w:val="none"/>
        </w:rPr>
        <w:t xml:space="preserve">代理（加盖公章）： </w:t>
      </w:r>
    </w:p>
    <w:p w14:paraId="6732228F">
      <w:pPr>
        <w:spacing w:line="440" w:lineRule="exact"/>
        <w:jc w:val="left"/>
        <w:rPr>
          <w:rFonts w:ascii="宋体" w:hAnsi="宋体" w:eastAsia="宋体" w:cs="Courier New"/>
          <w:color w:val="000000"/>
          <w:sz w:val="24"/>
          <w:szCs w:val="24"/>
          <w:highlight w:val="none"/>
          <w:lang w:val="en-US" w:eastAsia="zh-CN"/>
        </w:rPr>
      </w:pPr>
      <w:r>
        <w:rPr>
          <w:rFonts w:hint="eastAsia" w:ascii="宋体" w:hAnsi="宋体" w:cs="Courier New"/>
          <w:color w:val="000000"/>
          <w:sz w:val="24"/>
          <w:szCs w:val="24"/>
          <w:highlight w:val="none"/>
        </w:rPr>
        <w:t>代表：（签字）　　　</w:t>
      </w:r>
      <w:r>
        <w:rPr>
          <w:rFonts w:hint="eastAsia" w:ascii="宋体" w:hAnsi="宋体" w:cs="Courier New"/>
          <w:color w:val="000000"/>
          <w:sz w:val="24"/>
          <w:szCs w:val="24"/>
          <w:highlight w:val="none"/>
          <w:lang w:val="en-US" w:eastAsia="zh-CN"/>
        </w:rPr>
        <w:t xml:space="preserve">               </w:t>
      </w:r>
    </w:p>
    <w:p w14:paraId="311C599A">
      <w:pPr>
        <w:spacing w:line="440" w:lineRule="exact"/>
        <w:jc w:val="left"/>
        <w:rPr>
          <w:rFonts w:ascii="宋体" w:hAnsi="宋体" w:cs="Courier New"/>
          <w:color w:val="000000"/>
          <w:sz w:val="24"/>
          <w:szCs w:val="24"/>
          <w:highlight w:val="none"/>
        </w:rPr>
      </w:pPr>
      <w:r>
        <w:rPr>
          <w:rFonts w:hint="eastAsia" w:ascii="宋体" w:hAnsi="宋体" w:cs="Courier New"/>
          <w:color w:val="000000"/>
          <w:sz w:val="24"/>
          <w:szCs w:val="24"/>
          <w:highlight w:val="none"/>
        </w:rPr>
        <w:t xml:space="preserve">地址：              </w:t>
      </w:r>
      <w:r>
        <w:rPr>
          <w:rFonts w:hint="eastAsia" w:ascii="宋体" w:hAnsi="宋体" w:cs="Courier New"/>
          <w:color w:val="000000"/>
          <w:sz w:val="24"/>
          <w:szCs w:val="24"/>
          <w:highlight w:val="none"/>
          <w:lang w:val="en-US" w:eastAsia="zh-CN"/>
        </w:rPr>
        <w:t xml:space="preserve">                </w:t>
      </w:r>
      <w:r>
        <w:rPr>
          <w:rFonts w:hint="eastAsia" w:ascii="宋体" w:hAnsi="宋体" w:cs="Courier New"/>
          <w:color w:val="000000"/>
          <w:sz w:val="24"/>
          <w:szCs w:val="24"/>
          <w:highlight w:val="none"/>
        </w:rPr>
        <w:t xml:space="preserve">       </w:t>
      </w:r>
    </w:p>
    <w:p w14:paraId="6F9E85EC">
      <w:pPr>
        <w:spacing w:line="440" w:lineRule="exact"/>
        <w:rPr>
          <w:rFonts w:hint="eastAsia" w:ascii="宋体" w:hAnsi="宋体" w:cs="Courier New"/>
          <w:color w:val="000000"/>
          <w:sz w:val="24"/>
          <w:szCs w:val="24"/>
          <w:highlight w:val="none"/>
          <w:lang w:val="en-US" w:eastAsia="zh-CN"/>
        </w:rPr>
      </w:pPr>
      <w:r>
        <w:rPr>
          <w:rFonts w:hint="eastAsia" w:ascii="宋体" w:hAnsi="宋体" w:cs="Courier New"/>
          <w:color w:val="000000"/>
          <w:sz w:val="24"/>
          <w:szCs w:val="24"/>
          <w:highlight w:val="none"/>
        </w:rPr>
        <w:t>签约日期： 年 月 日</w:t>
      </w:r>
      <w:r>
        <w:rPr>
          <w:rFonts w:hint="eastAsia" w:ascii="宋体" w:hAnsi="宋体" w:cs="Courier New"/>
          <w:color w:val="000000"/>
          <w:sz w:val="24"/>
          <w:szCs w:val="24"/>
          <w:highlight w:val="none"/>
          <w:lang w:val="en-US" w:eastAsia="zh-CN"/>
        </w:rPr>
        <w:t xml:space="preserve">          </w:t>
      </w:r>
    </w:p>
    <w:p w14:paraId="66BF000F">
      <w:pPr>
        <w:spacing w:line="440" w:lineRule="exact"/>
        <w:rPr>
          <w:rFonts w:hint="eastAsia" w:ascii="宋体" w:hAnsi="宋体" w:cs="Courier New"/>
          <w:color w:val="000000"/>
          <w:sz w:val="24"/>
          <w:szCs w:val="24"/>
          <w:highlight w:val="none"/>
          <w:lang w:val="en-US" w:eastAsia="zh-CN"/>
        </w:rPr>
      </w:pPr>
    </w:p>
    <w:p w14:paraId="3EAAD979">
      <w:pPr>
        <w:spacing w:line="440" w:lineRule="exact"/>
        <w:rPr>
          <w:rFonts w:hint="eastAsia" w:ascii="宋体" w:hAnsi="宋体" w:cs="Courier New"/>
          <w:color w:val="000000"/>
          <w:sz w:val="24"/>
          <w:szCs w:val="24"/>
          <w:highlight w:val="none"/>
          <w:lang w:val="en-US" w:eastAsia="zh-CN"/>
        </w:rPr>
      </w:pPr>
    </w:p>
    <w:p w14:paraId="5E74679B">
      <w:pPr>
        <w:spacing w:line="440" w:lineRule="exact"/>
        <w:rPr>
          <w:rFonts w:hint="eastAsia" w:ascii="宋体" w:hAnsi="宋体" w:cs="Courier New"/>
          <w:color w:val="000000"/>
          <w:sz w:val="24"/>
          <w:szCs w:val="24"/>
          <w:highlight w:val="none"/>
          <w:lang w:val="en-US" w:eastAsia="zh-CN"/>
        </w:rPr>
      </w:pPr>
    </w:p>
    <w:p w14:paraId="5D822A01">
      <w:pPr>
        <w:spacing w:line="440" w:lineRule="exact"/>
        <w:rPr>
          <w:rFonts w:hint="eastAsia" w:ascii="宋体" w:hAnsi="宋体" w:cs="Courier New"/>
          <w:color w:val="000000"/>
          <w:sz w:val="24"/>
          <w:szCs w:val="24"/>
          <w:highlight w:val="none"/>
          <w:lang w:val="en-US" w:eastAsia="zh-CN"/>
        </w:rPr>
      </w:pPr>
    </w:p>
    <w:p w14:paraId="4EC9A2A0">
      <w:pPr>
        <w:spacing w:line="440" w:lineRule="exact"/>
        <w:rPr>
          <w:rFonts w:hint="eastAsia" w:ascii="宋体" w:hAnsi="宋体" w:cs="Courier New"/>
          <w:color w:val="000000"/>
          <w:sz w:val="24"/>
          <w:szCs w:val="24"/>
          <w:highlight w:val="none"/>
          <w:lang w:val="en-US" w:eastAsia="zh-CN"/>
        </w:rPr>
      </w:pPr>
    </w:p>
    <w:p w14:paraId="2CE77374">
      <w:pPr>
        <w:spacing w:line="440" w:lineRule="exact"/>
        <w:rPr>
          <w:rFonts w:hint="eastAsia" w:ascii="宋体" w:hAnsi="宋体" w:cs="Courier New"/>
          <w:color w:val="000000"/>
          <w:sz w:val="24"/>
          <w:szCs w:val="24"/>
          <w:highlight w:val="none"/>
          <w:lang w:val="en-US" w:eastAsia="zh-CN"/>
        </w:rPr>
      </w:pPr>
    </w:p>
    <w:p w14:paraId="39E77D08">
      <w:pPr>
        <w:spacing w:line="440" w:lineRule="exact"/>
        <w:rPr>
          <w:rFonts w:hint="eastAsia" w:ascii="宋体" w:hAnsi="宋体" w:cs="Courier New"/>
          <w:color w:val="000000"/>
          <w:sz w:val="24"/>
          <w:szCs w:val="24"/>
          <w:highlight w:val="none"/>
          <w:lang w:val="en-US" w:eastAsia="zh-CN"/>
        </w:rPr>
      </w:pPr>
    </w:p>
    <w:p w14:paraId="305AF67F">
      <w:pPr>
        <w:spacing w:line="440" w:lineRule="exact"/>
        <w:rPr>
          <w:rFonts w:hint="eastAsia" w:ascii="宋体" w:hAnsi="宋体" w:cs="Courier New"/>
          <w:color w:val="000000"/>
          <w:sz w:val="24"/>
          <w:szCs w:val="24"/>
          <w:highlight w:val="none"/>
          <w:lang w:val="en-US" w:eastAsia="zh-CN"/>
        </w:rPr>
      </w:pPr>
    </w:p>
    <w:p w14:paraId="52607FC9">
      <w:pPr>
        <w:spacing w:line="440" w:lineRule="exact"/>
        <w:rPr>
          <w:rFonts w:ascii="宋体" w:hAnsi="宋体" w:cs="Courier New"/>
          <w:color w:val="000000"/>
          <w:sz w:val="24"/>
          <w:szCs w:val="24"/>
          <w:highlight w:val="none"/>
        </w:rPr>
      </w:pPr>
      <w:r>
        <w:rPr>
          <w:rFonts w:hint="eastAsia" w:ascii="宋体" w:hAnsi="宋体" w:cs="Courier New"/>
          <w:color w:val="000000"/>
          <w:sz w:val="24"/>
          <w:szCs w:val="24"/>
          <w:highlight w:val="none"/>
          <w:lang w:val="en-US" w:eastAsia="zh-CN"/>
        </w:rPr>
        <w:t xml:space="preserve">               </w:t>
      </w:r>
    </w:p>
    <w:p w14:paraId="0D0F93C8">
      <w:pPr>
        <w:rPr>
          <w:color w:val="000000"/>
          <w:highlight w:val="none"/>
        </w:rPr>
      </w:pPr>
    </w:p>
    <w:p w14:paraId="2E357943">
      <w:pPr>
        <w:spacing w:line="440" w:lineRule="exact"/>
        <w:rPr>
          <w:rFonts w:ascii="宋体" w:hAnsi="宋体" w:cs="Courier New"/>
          <w:color w:val="000000"/>
          <w:sz w:val="24"/>
          <w:szCs w:val="24"/>
          <w:highlight w:val="none"/>
        </w:rPr>
      </w:pPr>
    </w:p>
    <w:p w14:paraId="4786D987">
      <w:pPr>
        <w:pStyle w:val="10"/>
        <w:rPr>
          <w:rFonts w:ascii="宋体" w:hAnsi="宋体" w:cs="Courier New"/>
          <w:color w:val="000000"/>
          <w:sz w:val="24"/>
          <w:szCs w:val="24"/>
          <w:highlight w:val="none"/>
        </w:rPr>
      </w:pPr>
    </w:p>
    <w:p w14:paraId="100C8B3D">
      <w:pPr>
        <w:rPr>
          <w:rFonts w:ascii="宋体" w:hAnsi="宋体" w:cs="Courier New"/>
          <w:color w:val="000000"/>
          <w:sz w:val="24"/>
          <w:szCs w:val="24"/>
          <w:highlight w:val="none"/>
        </w:rPr>
      </w:pPr>
    </w:p>
    <w:p w14:paraId="72B9AB04">
      <w:pPr>
        <w:pStyle w:val="10"/>
      </w:pPr>
    </w:p>
    <w:p w14:paraId="066ADE7C">
      <w:pPr>
        <w:pStyle w:val="28"/>
        <w:rPr>
          <w:rFonts w:ascii="宋体" w:hAnsi="宋体" w:cs="Courier New"/>
          <w:color w:val="000000"/>
          <w:sz w:val="24"/>
          <w:szCs w:val="24"/>
          <w:highlight w:val="none"/>
        </w:rPr>
      </w:pPr>
    </w:p>
    <w:p w14:paraId="7DF83FF3">
      <w:pPr>
        <w:pStyle w:val="28"/>
        <w:rPr>
          <w:rFonts w:ascii="宋体" w:hAnsi="宋体" w:cs="Courier New"/>
          <w:color w:val="000000"/>
          <w:sz w:val="24"/>
          <w:szCs w:val="24"/>
          <w:highlight w:val="none"/>
        </w:rPr>
      </w:pPr>
    </w:p>
    <w:p w14:paraId="4A1C86EE">
      <w:pPr>
        <w:pStyle w:val="28"/>
        <w:rPr>
          <w:rFonts w:ascii="宋体" w:hAnsi="宋体" w:cs="Courier New"/>
          <w:color w:val="000000"/>
          <w:sz w:val="24"/>
          <w:szCs w:val="24"/>
          <w:highlight w:val="none"/>
        </w:rPr>
      </w:pPr>
    </w:p>
    <w:p w14:paraId="494523C9">
      <w:pPr>
        <w:pStyle w:val="28"/>
        <w:rPr>
          <w:rFonts w:ascii="宋体" w:hAnsi="宋体" w:cs="Courier New"/>
          <w:color w:val="000000"/>
          <w:sz w:val="24"/>
          <w:szCs w:val="24"/>
          <w:highlight w:val="none"/>
        </w:rPr>
      </w:pPr>
    </w:p>
    <w:p w14:paraId="5B5818B3">
      <w:pPr>
        <w:pStyle w:val="28"/>
        <w:rPr>
          <w:rFonts w:ascii="宋体" w:hAnsi="宋体" w:cs="Courier New"/>
          <w:color w:val="000000"/>
          <w:sz w:val="24"/>
          <w:szCs w:val="24"/>
          <w:highlight w:val="none"/>
        </w:rPr>
      </w:pPr>
    </w:p>
    <w:bookmarkEnd w:id="12"/>
    <w:bookmarkEnd w:id="13"/>
    <w:bookmarkEnd w:id="14"/>
    <w:bookmarkEnd w:id="15"/>
    <w:bookmarkEnd w:id="16"/>
    <w:bookmarkEnd w:id="17"/>
    <w:bookmarkEnd w:id="18"/>
    <w:bookmarkEnd w:id="19"/>
    <w:bookmarkEnd w:id="180"/>
    <w:bookmarkEnd w:id="181"/>
    <w:bookmarkEnd w:id="182"/>
    <w:p w14:paraId="3F2B0CF4">
      <w:pPr>
        <w:pStyle w:val="3"/>
        <w:numPr>
          <w:ilvl w:val="0"/>
          <w:numId w:val="0"/>
        </w:numPr>
        <w:spacing w:line="360" w:lineRule="auto"/>
        <w:jc w:val="center"/>
        <w:outlineLvl w:val="0"/>
        <w:rPr>
          <w:rFonts w:hint="eastAsia" w:ascii="仿宋" w:hAnsi="仿宋" w:eastAsia="仿宋" w:cs="Times New Roman"/>
          <w:b/>
          <w:color w:val="auto"/>
          <w:sz w:val="44"/>
          <w:szCs w:val="44"/>
          <w:lang w:val="en-US" w:eastAsia="zh-CN"/>
        </w:rPr>
      </w:pPr>
      <w:bookmarkStart w:id="183" w:name="_Toc3054"/>
      <w:bookmarkStart w:id="184" w:name="_Toc8287"/>
      <w:bookmarkStart w:id="185" w:name="_Toc24794"/>
      <w:bookmarkStart w:id="186" w:name="_Toc4213"/>
      <w:bookmarkStart w:id="187" w:name="_Toc26056"/>
      <w:bookmarkStart w:id="188" w:name="_Toc6397"/>
      <w:bookmarkStart w:id="189" w:name="_Toc24733"/>
      <w:bookmarkStart w:id="190" w:name="_Toc11307"/>
      <w:r>
        <w:rPr>
          <w:rFonts w:hint="eastAsia" w:ascii="仿宋" w:hAnsi="仿宋" w:eastAsia="仿宋" w:cs="Times New Roman"/>
          <w:b/>
          <w:color w:val="auto"/>
          <w:sz w:val="44"/>
          <w:szCs w:val="44"/>
          <w:lang w:val="en-US" w:eastAsia="zh-CN"/>
        </w:rPr>
        <w:t xml:space="preserve"> </w:t>
      </w:r>
      <w:bookmarkEnd w:id="183"/>
      <w:bookmarkEnd w:id="184"/>
      <w:bookmarkEnd w:id="185"/>
      <w:bookmarkEnd w:id="186"/>
      <w:bookmarkEnd w:id="187"/>
      <w:bookmarkStart w:id="191" w:name="_Toc17991"/>
      <w:bookmarkStart w:id="192" w:name="_Toc30655"/>
      <w:bookmarkStart w:id="193" w:name="_Toc25325"/>
      <w:bookmarkStart w:id="194" w:name="_Toc19573"/>
      <w:r>
        <w:rPr>
          <w:rFonts w:hint="eastAsia" w:ascii="仿宋" w:hAnsi="仿宋" w:eastAsia="仿宋" w:cs="Times New Roman"/>
          <w:b/>
          <w:color w:val="auto"/>
          <w:sz w:val="44"/>
          <w:szCs w:val="44"/>
          <w:lang w:val="en-US" w:eastAsia="zh-CN"/>
        </w:rPr>
        <w:t>第四章 采购需求及</w:t>
      </w:r>
      <w:bookmarkEnd w:id="188"/>
      <w:bookmarkEnd w:id="189"/>
      <w:bookmarkEnd w:id="190"/>
      <w:r>
        <w:rPr>
          <w:rFonts w:hint="eastAsia" w:ascii="仿宋" w:hAnsi="仿宋" w:eastAsia="仿宋" w:cs="Times New Roman"/>
          <w:b/>
          <w:color w:val="auto"/>
          <w:sz w:val="44"/>
          <w:szCs w:val="44"/>
          <w:lang w:val="en-US" w:eastAsia="zh-CN"/>
        </w:rPr>
        <w:t>基本服务要求</w:t>
      </w:r>
      <w:bookmarkEnd w:id="191"/>
      <w:bookmarkEnd w:id="192"/>
      <w:bookmarkEnd w:id="193"/>
      <w:bookmarkEnd w:id="194"/>
    </w:p>
    <w:p w14:paraId="2F98146F">
      <w:pPr>
        <w:pStyle w:val="6"/>
        <w:rPr>
          <w:color w:val="auto"/>
          <w:highlight w:val="none"/>
        </w:rPr>
      </w:pPr>
      <w:bookmarkStart w:id="195" w:name="_Toc22773"/>
      <w:bookmarkStart w:id="196" w:name="_Toc32232"/>
      <w:bookmarkStart w:id="197" w:name="_Toc29699"/>
      <w:bookmarkStart w:id="198" w:name="_Toc5222"/>
      <w:bookmarkStart w:id="199" w:name="_Toc31936"/>
      <w:bookmarkStart w:id="200" w:name="_Toc23671"/>
      <w:bookmarkStart w:id="201" w:name="_Toc785"/>
      <w:bookmarkStart w:id="202" w:name="_Toc2988"/>
      <w:bookmarkStart w:id="203" w:name="_Toc1441"/>
      <w:bookmarkStart w:id="204" w:name="_Toc21717"/>
      <w:bookmarkStart w:id="205" w:name="_Toc19163"/>
      <w:bookmarkStart w:id="206" w:name="_Toc22809"/>
      <w:bookmarkStart w:id="207" w:name="_Toc3493"/>
    </w:p>
    <w:p w14:paraId="35666B04">
      <w:pPr>
        <w:spacing w:line="360" w:lineRule="auto"/>
        <w:rPr>
          <w:rFonts w:hint="eastAsia" w:ascii="宋体" w:hAnsi="宋体" w:cs="宋体"/>
          <w:b/>
          <w:bCs/>
          <w:sz w:val="24"/>
          <w:szCs w:val="24"/>
          <w:lang w:val="zh-TW" w:eastAsia="zh-TW"/>
        </w:rPr>
      </w:pPr>
      <w:r>
        <w:rPr>
          <w:rFonts w:hint="eastAsia" w:ascii="宋体" w:hAnsi="宋体" w:cs="宋体"/>
          <w:b/>
          <w:bCs/>
          <w:sz w:val="24"/>
          <w:szCs w:val="24"/>
          <w:lang w:val="zh-TW" w:eastAsia="zh-TW"/>
        </w:rPr>
        <w:t>项目属性:服务类项目。</w:t>
      </w:r>
    </w:p>
    <w:p w14:paraId="4101128C">
      <w:pPr>
        <w:snapToGrid w:val="0"/>
        <w:spacing w:before="145" w:beforeLines="50" w:after="145" w:afterLines="50" w:line="440" w:lineRule="exact"/>
        <w:rPr>
          <w:rFonts w:hint="default" w:ascii="宋体" w:hAnsi="宋体" w:cs="Courier New"/>
          <w:b/>
          <w:sz w:val="24"/>
          <w:szCs w:val="24"/>
          <w:lang w:val="en-US" w:eastAsia="zh-CN"/>
        </w:rPr>
      </w:pPr>
      <w:r>
        <w:rPr>
          <w:rFonts w:hint="eastAsia" w:ascii="宋体" w:hAnsi="宋体" w:cs="Courier New"/>
          <w:b/>
          <w:sz w:val="24"/>
          <w:szCs w:val="24"/>
          <w:lang w:val="en-US" w:eastAsia="zh-CN"/>
        </w:rPr>
        <w:t>一、作业范围：集镇区域</w:t>
      </w:r>
    </w:p>
    <w:p w14:paraId="594CF923">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注：服务期内，经报主管部门批准，根据作业区域消减变化的实际情况（如拆迁等），甲方有权适当调整乙方作业区域和核减相应服务经费。</w:t>
      </w:r>
    </w:p>
    <w:p w14:paraId="689CDE46">
      <w:pPr>
        <w:spacing w:line="440" w:lineRule="exact"/>
        <w:ind w:firstLine="539"/>
        <w:rPr>
          <w:rFonts w:hint="eastAsia" w:ascii="宋体" w:hAnsi="宋体"/>
          <w:color w:val="auto"/>
          <w:sz w:val="24"/>
          <w:szCs w:val="24"/>
          <w:highlight w:val="none"/>
        </w:rPr>
      </w:pPr>
      <w:r>
        <w:rPr>
          <w:rFonts w:hint="eastAsia" w:ascii="宋体" w:hAnsi="宋体"/>
          <w:color w:val="auto"/>
          <w:sz w:val="24"/>
          <w:szCs w:val="24"/>
          <w:highlight w:val="none"/>
        </w:rPr>
        <w:t>合同期内，道路两侧等公共区域代运垃圾桶、果壳箱数量未超过合同中代运垃圾桶、果壳箱总数量10%的，不再增加任何费用，且乙方应根据甲方要求及时规范清运。</w:t>
      </w:r>
    </w:p>
    <w:p w14:paraId="69573D28">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二、作业内容</w:t>
      </w:r>
    </w:p>
    <w:p w14:paraId="474574F6">
      <w:pPr>
        <w:spacing w:line="440" w:lineRule="exact"/>
        <w:ind w:firstLine="539"/>
        <w:rPr>
          <w:rFonts w:hint="eastAsia" w:ascii="宋体" w:hAnsi="宋体"/>
          <w:color w:val="auto"/>
          <w:sz w:val="24"/>
          <w:szCs w:val="24"/>
          <w:highlight w:val="none"/>
          <w:u w:val="single"/>
        </w:rPr>
      </w:pPr>
      <w:r>
        <w:rPr>
          <w:rFonts w:hint="eastAsia" w:ascii="宋体" w:hAnsi="宋体"/>
          <w:color w:val="auto"/>
          <w:sz w:val="24"/>
          <w:szCs w:val="24"/>
          <w:highlight w:val="none"/>
          <w:u w:val="single"/>
        </w:rPr>
        <w:t>本项目招标范围内</w:t>
      </w:r>
      <w:r>
        <w:rPr>
          <w:rFonts w:hint="eastAsia" w:ascii="宋体" w:hAnsi="宋体"/>
          <w:color w:val="auto"/>
          <w:sz w:val="24"/>
          <w:szCs w:val="24"/>
          <w:highlight w:val="none"/>
          <w:u w:val="single"/>
          <w:lang w:eastAsia="zh-CN"/>
        </w:rPr>
        <w:t>扬中市</w:t>
      </w:r>
      <w:r>
        <w:rPr>
          <w:rFonts w:hint="eastAsia" w:ascii="宋体" w:hAnsi="宋体"/>
          <w:color w:val="auto"/>
          <w:sz w:val="24"/>
          <w:szCs w:val="24"/>
          <w:highlight w:val="none"/>
          <w:u w:val="single"/>
          <w:lang w:val="en-US" w:eastAsia="zh-CN"/>
        </w:rPr>
        <w:t>西来桥镇</w:t>
      </w:r>
      <w:r>
        <w:rPr>
          <w:rFonts w:hint="eastAsia" w:ascii="宋体" w:hAnsi="宋体"/>
          <w:color w:val="auto"/>
          <w:sz w:val="24"/>
          <w:szCs w:val="24"/>
          <w:highlight w:val="none"/>
          <w:u w:val="single"/>
        </w:rPr>
        <w:t>的集镇区域内垃圾的分拣与收集、西来桥镇垃圾的转运与（垃圾中转站-处置终端）处置（临时堆放点-处置终端）等服务。具体项目内容如下：</w:t>
      </w:r>
    </w:p>
    <w:p w14:paraId="64596B4B">
      <w:pPr>
        <w:spacing w:line="440" w:lineRule="exact"/>
        <w:ind w:firstLine="539"/>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u w:val="single"/>
        </w:rPr>
        <w:t>1.</w:t>
      </w:r>
      <w:r>
        <w:rPr>
          <w:rFonts w:hint="eastAsia" w:ascii="宋体" w:hAnsi="宋体"/>
          <w:color w:val="auto"/>
          <w:sz w:val="24"/>
          <w:szCs w:val="24"/>
          <w:highlight w:val="none"/>
          <w:u w:val="single"/>
          <w:lang w:val="en-US" w:eastAsia="zh-CN"/>
        </w:rPr>
        <w:t>集镇区域内垃圾收集</w:t>
      </w:r>
    </w:p>
    <w:p w14:paraId="027EEC70">
      <w:pPr>
        <w:spacing w:line="440" w:lineRule="exact"/>
        <w:ind w:firstLine="539"/>
        <w:rPr>
          <w:rFonts w:hint="eastAsia" w:ascii="宋体" w:hAnsi="宋体"/>
          <w:color w:val="auto"/>
          <w:sz w:val="24"/>
          <w:szCs w:val="24"/>
          <w:highlight w:val="none"/>
          <w:u w:val="single"/>
        </w:rPr>
      </w:pPr>
      <w:r>
        <w:rPr>
          <w:rFonts w:hint="eastAsia" w:ascii="宋体" w:hAnsi="宋体"/>
          <w:color w:val="auto"/>
          <w:sz w:val="24"/>
          <w:szCs w:val="24"/>
          <w:highlight w:val="none"/>
          <w:u w:val="single"/>
        </w:rPr>
        <w:t>（1）道路清扫作业和沿途垃圾收集容器清掏所产生生活垃圾的收集、清运。</w:t>
      </w:r>
    </w:p>
    <w:p w14:paraId="1F458E9B">
      <w:pPr>
        <w:spacing w:line="440" w:lineRule="exact"/>
        <w:ind w:firstLine="539"/>
        <w:rPr>
          <w:rFonts w:hint="eastAsia" w:ascii="宋体" w:hAnsi="宋体"/>
          <w:color w:val="auto"/>
          <w:sz w:val="24"/>
          <w:szCs w:val="24"/>
          <w:highlight w:val="none"/>
          <w:u w:val="single"/>
        </w:rPr>
      </w:pPr>
      <w:r>
        <w:rPr>
          <w:rFonts w:hint="eastAsia" w:ascii="宋体" w:hAnsi="宋体"/>
          <w:color w:val="auto"/>
          <w:sz w:val="24"/>
          <w:szCs w:val="24"/>
          <w:highlight w:val="none"/>
          <w:u w:val="single"/>
        </w:rPr>
        <w:t>（2）辖区内委托服务的单位、居民小区产生生活垃圾的收集、清运。</w:t>
      </w:r>
    </w:p>
    <w:p w14:paraId="33676823">
      <w:pPr>
        <w:spacing w:line="440" w:lineRule="exact"/>
        <w:ind w:firstLine="539"/>
        <w:rPr>
          <w:rFonts w:hint="eastAsia" w:ascii="宋体" w:hAnsi="宋体"/>
          <w:color w:val="auto"/>
          <w:sz w:val="24"/>
          <w:szCs w:val="24"/>
          <w:highlight w:val="none"/>
          <w:u w:val="single"/>
        </w:rPr>
      </w:pPr>
      <w:r>
        <w:rPr>
          <w:rFonts w:hint="eastAsia" w:ascii="宋体" w:hAnsi="宋体"/>
          <w:color w:val="auto"/>
          <w:sz w:val="24"/>
          <w:szCs w:val="24"/>
          <w:highlight w:val="none"/>
          <w:u w:val="single"/>
        </w:rPr>
        <w:t>（3）辖区内无主生活垃圾</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农作物垃圾、</w:t>
      </w:r>
      <w:r>
        <w:rPr>
          <w:rFonts w:hint="eastAsia" w:ascii="宋体" w:hAnsi="宋体"/>
          <w:color w:val="auto"/>
          <w:sz w:val="24"/>
          <w:szCs w:val="24"/>
          <w:highlight w:val="none"/>
          <w:u w:val="single"/>
        </w:rPr>
        <w:t>建筑装潢垃圾</w:t>
      </w:r>
      <w:r>
        <w:rPr>
          <w:rFonts w:hint="eastAsia" w:ascii="宋体" w:hAnsi="宋体"/>
          <w:color w:val="auto"/>
          <w:sz w:val="24"/>
          <w:szCs w:val="24"/>
          <w:highlight w:val="none"/>
          <w:u w:val="single"/>
          <w:lang w:val="en-US" w:eastAsia="zh-CN"/>
        </w:rPr>
        <w:t>和有毒有害</w:t>
      </w:r>
      <w:r>
        <w:rPr>
          <w:rFonts w:hint="eastAsia" w:ascii="宋体" w:hAnsi="宋体"/>
          <w:color w:val="auto"/>
          <w:sz w:val="24"/>
          <w:szCs w:val="24"/>
          <w:highlight w:val="none"/>
          <w:u w:val="single"/>
        </w:rPr>
        <w:t>的收集、清运。</w:t>
      </w:r>
    </w:p>
    <w:p w14:paraId="701AD43B">
      <w:pPr>
        <w:spacing w:line="440" w:lineRule="exact"/>
        <w:ind w:firstLine="539"/>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2.垃圾转运和处置</w:t>
      </w:r>
    </w:p>
    <w:p w14:paraId="3AACC5EE">
      <w:pPr>
        <w:spacing w:line="440" w:lineRule="exact"/>
        <w:ind w:firstLine="539"/>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 xml:space="preserve"> （1）负责西来桥镇垃圾中转站和垃圾临时堆放点的日常运行。</w:t>
      </w:r>
    </w:p>
    <w:p w14:paraId="39149952">
      <w:pPr>
        <w:spacing w:line="440" w:lineRule="exact"/>
        <w:ind w:firstLine="539"/>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 xml:space="preserve"> （2）垃圾中转站接受各村社区（五村一社区）生活垃圾。</w:t>
      </w:r>
    </w:p>
    <w:p w14:paraId="390CCCB0">
      <w:pPr>
        <w:spacing w:line="440" w:lineRule="exact"/>
        <w:ind w:firstLine="539"/>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 xml:space="preserve"> （3）生活垃圾收集至镇垃圾中转站，经分拣、压缩等处理后转运至镇生活垃圾处置中心。</w:t>
      </w:r>
    </w:p>
    <w:p w14:paraId="56E9DA80">
      <w:pPr>
        <w:spacing w:line="440" w:lineRule="exact"/>
        <w:ind w:firstLine="539"/>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 xml:space="preserve"> （4）集镇区域内建筑装潢垃圾收集至垃圾临时堆放点</w:t>
      </w:r>
    </w:p>
    <w:p w14:paraId="2C9A9C76">
      <w:pPr>
        <w:spacing w:line="440" w:lineRule="exact"/>
        <w:ind w:firstLine="539"/>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 xml:space="preserve"> （5）集镇区域内农作物垃圾收集至垃圾临时堆放点，定期规范化处置（转运至市处置中心）、处置频率一个月不少于一次。</w:t>
      </w:r>
    </w:p>
    <w:p w14:paraId="26485889">
      <w:pPr>
        <w:spacing w:line="440" w:lineRule="exact"/>
        <w:ind w:firstLine="539"/>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 xml:space="preserve"> （6）集镇区域内有毒有害垃圾收集至垃圾临时堆放点，定期规范化处置（转运至市处置中心），处置频率一年不少于两次。</w:t>
      </w:r>
    </w:p>
    <w:p w14:paraId="596AE5F7">
      <w:pPr>
        <w:spacing w:line="440" w:lineRule="exact"/>
        <w:ind w:firstLine="539"/>
        <w:rPr>
          <w:rFonts w:hint="eastAsia" w:ascii="宋体" w:hAnsi="宋体"/>
          <w:color w:val="auto"/>
          <w:sz w:val="24"/>
          <w:szCs w:val="24"/>
          <w:highlight w:val="none"/>
          <w:u w:val="single"/>
        </w:rPr>
      </w:pP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.特殊情况下的环卫保障</w:t>
      </w:r>
    </w:p>
    <w:p w14:paraId="20745F59">
      <w:pPr>
        <w:spacing w:line="440" w:lineRule="exact"/>
        <w:ind w:firstLine="539"/>
        <w:rPr>
          <w:rFonts w:hint="eastAsia" w:ascii="宋体" w:hAnsi="宋体"/>
          <w:color w:val="auto"/>
          <w:sz w:val="24"/>
          <w:szCs w:val="24"/>
          <w:highlight w:val="none"/>
          <w:u w:val="single"/>
        </w:rPr>
      </w:pPr>
      <w:r>
        <w:rPr>
          <w:rFonts w:hint="eastAsia" w:ascii="宋体" w:hAnsi="宋体"/>
          <w:color w:val="auto"/>
          <w:sz w:val="24"/>
          <w:szCs w:val="24"/>
          <w:highlight w:val="none"/>
          <w:u w:val="single"/>
        </w:rPr>
        <w:t>（1）突发应急事件或大型检查、重大活动保障等环卫应急保障。</w:t>
      </w:r>
    </w:p>
    <w:p w14:paraId="538C633D">
      <w:pPr>
        <w:spacing w:line="440" w:lineRule="exact"/>
        <w:ind w:firstLine="539"/>
        <w:rPr>
          <w:rFonts w:hint="eastAsia" w:ascii="宋体" w:hAnsi="宋体"/>
          <w:color w:val="auto"/>
          <w:sz w:val="24"/>
          <w:szCs w:val="24"/>
          <w:highlight w:val="none"/>
          <w:u w:val="single"/>
        </w:rPr>
      </w:pPr>
      <w:r>
        <w:rPr>
          <w:rFonts w:hint="eastAsia" w:ascii="宋体" w:hAnsi="宋体"/>
          <w:color w:val="auto"/>
          <w:sz w:val="24"/>
          <w:szCs w:val="24"/>
          <w:highlight w:val="none"/>
          <w:u w:val="single"/>
        </w:rPr>
        <w:t>（2）雨雪冰雹强台风等自然灾害期间的环卫保障等。</w:t>
      </w:r>
    </w:p>
    <w:p w14:paraId="52E39207">
      <w:pPr>
        <w:spacing w:line="440" w:lineRule="exact"/>
        <w:ind w:firstLine="539"/>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lang w:eastAsia="zh-CN"/>
        </w:rPr>
        <w:t>）投标人需自备</w:t>
      </w:r>
      <w:r>
        <w:rPr>
          <w:rFonts w:hint="eastAsia" w:ascii="宋体" w:hAnsi="宋体"/>
          <w:color w:val="auto"/>
          <w:sz w:val="24"/>
          <w:szCs w:val="24"/>
          <w:highlight w:val="none"/>
          <w:u w:val="single"/>
          <w:lang w:val="en-US" w:eastAsia="zh-CN"/>
        </w:rPr>
        <w:t>巡查车辆</w:t>
      </w:r>
      <w:r>
        <w:rPr>
          <w:rFonts w:hint="eastAsia" w:ascii="宋体" w:hAnsi="宋体"/>
          <w:color w:val="auto"/>
          <w:sz w:val="24"/>
          <w:szCs w:val="24"/>
          <w:highlight w:val="none"/>
          <w:u w:val="single"/>
          <w:lang w:eastAsia="zh-CN"/>
        </w:rPr>
        <w:t>，定期对辖区内的垃圾池、封闭厂区、卫生死角等进行巡查，及时发现和阻止私乱倾倒、焚烧垃圾等破坏环境行为，并固定证据。</w:t>
      </w:r>
    </w:p>
    <w:p w14:paraId="37E9A5E7">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三、作业服务范围要求</w:t>
      </w:r>
    </w:p>
    <w:p w14:paraId="5A7DC88B">
      <w:pPr>
        <w:ind w:left="0" w:leftChars="0" w:firstLine="0" w:firstLineChars="0"/>
        <w:jc w:val="both"/>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 xml:space="preserve">    1、作业服务范围</w:t>
      </w:r>
    </w:p>
    <w:p w14:paraId="1EF6A55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1.1集镇区域（东至庆丰路，西至238省道，北至川心港路，南至园区大道。）内所有垃圾箱（房）、垃圾桶、果壳箱等垃圾收集容器。</w:t>
      </w:r>
    </w:p>
    <w:p w14:paraId="55DECB1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1.2富民工业园区道路两侧建筑物之间的等垃圾收集容器。</w:t>
      </w:r>
    </w:p>
    <w:p w14:paraId="2DEEEBA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1.3幸福花苑二期、三期及江南花苑、苏洋船厂内垃圾收集容器。</w:t>
      </w:r>
    </w:p>
    <w:p w14:paraId="0C710AD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1.4集镇内西来村村域3个自然埭内200个垃圾桶。</w:t>
      </w:r>
    </w:p>
    <w:p w14:paraId="055AEBFB">
      <w:pPr>
        <w:ind w:left="0" w:leftChars="0" w:firstLine="562" w:firstLineChars="200"/>
        <w:jc w:val="both"/>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2、道路沿线垃圾收集清运要求</w:t>
      </w:r>
    </w:p>
    <w:p w14:paraId="6AAFC9F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 自备电动液压挂桶式垃圾分类清运车或密闭式垃圾清运车，垃圾送往指定的垃圾中转站；</w:t>
      </w:r>
    </w:p>
    <w:p w14:paraId="181F388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2.2清运车外表干净整洁，密闭运输，不抛撒滴漏；</w:t>
      </w:r>
    </w:p>
    <w:p w14:paraId="5E385AF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2.3道路沿线第一遍垃圾收集应在上午8:30前完成，全天候作业时间内巡回收集，保证垃圾容器不满溢；小区、工作、单位垃圾收集日产日清，小区垃圾收集不得低于一日二次，确保垃圾桶（池、房）和果壳箱内垃圾不满溢、不积压；</w:t>
      </w:r>
    </w:p>
    <w:p w14:paraId="52FFD51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2.4垃圾清运车辆遵守交通安全法规，办理第三者责任险。</w:t>
      </w:r>
    </w:p>
    <w:p w14:paraId="43E8FA90">
      <w:pPr>
        <w:spacing w:line="440" w:lineRule="exact"/>
        <w:ind w:firstLine="539"/>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2.5垃圾收运结束后各垃圾容器放至制定位置，不得随意摆放。</w:t>
      </w:r>
    </w:p>
    <w:p w14:paraId="5C676269">
      <w:pPr>
        <w:ind w:left="0" w:leftChars="0" w:firstLine="562" w:firstLineChars="200"/>
        <w:jc w:val="both"/>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3、无主垃圾清理、渣土染污路面的要求</w:t>
      </w:r>
    </w:p>
    <w:p w14:paraId="1A9F3EF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自备垃圾清运、装卸车辆，及时清运道路保洁范围内的无主建筑垃圾、无主装修垃圾、杂物等，费用自行承担；</w:t>
      </w:r>
    </w:p>
    <w:p w14:paraId="4F8AA468">
      <w:pPr>
        <w:ind w:firstLine="562"/>
        <w:jc w:val="both"/>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rPr>
        <w:t>、重大活动保障的要求</w:t>
      </w:r>
    </w:p>
    <w:p w14:paraId="431F7DA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无条件保障“卫生城市”、“文明城市”、城市管理长效考核等各类重大创建考核迎检活动；</w:t>
      </w:r>
    </w:p>
    <w:p w14:paraId="0E10C120">
      <w:pPr>
        <w:keepNext w:val="0"/>
        <w:keepLines w:val="0"/>
        <w:pageBreakBefore w:val="0"/>
        <w:widowControl w:val="0"/>
        <w:ind w:firstLine="562"/>
        <w:jc w:val="both"/>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、灾害性天气应急保障的要求</w:t>
      </w:r>
    </w:p>
    <w:p w14:paraId="0826CCF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5.1台风天气后，将路边倾倒的树木及时清理到不妨碍交通的场地；</w:t>
      </w:r>
    </w:p>
    <w:p w14:paraId="38AA847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5.2高温季节，做好员工防暑降温工作，合理调整作业方案，提前报扬中市西来桥镇综合行政执法局批准。</w:t>
      </w:r>
    </w:p>
    <w:p w14:paraId="48E698C8">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四、服务期限</w:t>
      </w:r>
    </w:p>
    <w:p w14:paraId="1996243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本次招标的服务期限为：二年。</w:t>
      </w:r>
    </w:p>
    <w:p w14:paraId="0D21494D">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五、有关人员配置的说明</w:t>
      </w:r>
    </w:p>
    <w:p w14:paraId="788F67B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1、人员配置必须满足《人员最低要求明细表》的要求，并在人员配备方案中具体体现。</w:t>
      </w:r>
    </w:p>
    <w:p w14:paraId="6CFCAAA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2、投标人必须在投标文件中承诺严格遵守和执行《中华人民共和国劳动法》、扬中市劳动（劳务）用工和社会保险管理规定的相关要求录用人员并与其签订劳动（劳务）合同（承诺函格式自拟）。</w:t>
      </w:r>
    </w:p>
    <w:p w14:paraId="540D2CE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3、本项目保险要求：</w:t>
      </w:r>
    </w:p>
    <w:p w14:paraId="2EEF6A7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（1）投标人应在投标文件中承诺为拟派入本项目人员社会保险做到应保尽保；  </w:t>
      </w:r>
    </w:p>
    <w:p w14:paraId="036D7D3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（2）投标人承诺中标后购买雇主责任险。</w:t>
      </w:r>
    </w:p>
    <w:p w14:paraId="06C08A6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4、投标人应在投标文件中承诺就安全生产和职业道德，加强对所有工作人员的教育，合同期中发生的一切事故、纠纷由中标人承担，招标人不承担任何责任和费用。</w:t>
      </w:r>
    </w:p>
    <w:p w14:paraId="229A1D57">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5、人员数量不满足本项目各工种最低数量要求的，视为无效投标。</w:t>
      </w:r>
    </w:p>
    <w:p w14:paraId="3042D92C">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七、项目进场时间</w:t>
      </w:r>
    </w:p>
    <w:p w14:paraId="3230861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中标人中标后，应在接到招标人书面通知后七天内进场，（合同执行时间按实际进场时间开始计算），未能在规定时间进场作业的，招标人有权终止承包合同。</w:t>
      </w:r>
    </w:p>
    <w:p w14:paraId="73FBA3AF">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八、项目分包及转让</w:t>
      </w:r>
    </w:p>
    <w:p w14:paraId="50EBE17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中标人应当按照合同约定履行义务、如实完成中标项目的服务。中标人不得向他人转让本项目。除投标文件中有分包计划及相应方案外，中标人不得将本项目肢解后向他人分包，否则，招标人有权终止服务合同。</w:t>
      </w:r>
    </w:p>
    <w:p w14:paraId="7C7E6229">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九、项目考核</w:t>
      </w:r>
    </w:p>
    <w:p w14:paraId="1E4D42A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中标人在承包期间将无条件接受西来桥镇政府对作业质量的检查考核，具体考核要求见附件。在合同履行期间，甲方有权根据实际情况对考核方式及考核内容作出合理调整，乙方予以配合。</w:t>
      </w:r>
    </w:p>
    <w:p w14:paraId="1CB76472">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十、项目报价及其它说明</w:t>
      </w:r>
    </w:p>
    <w:p w14:paraId="6A7ED97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本项目反对不正当竞争（恶意低价或哄抬高价）。投标人需提供分项报价明细表，并配合保洁方案说明经费计算的合理性。如投标报价明显低于成本，而投标人又不能作出合理说明及提供相关证明材料的，其投标将被拒绝。</w:t>
      </w:r>
    </w:p>
    <w:p w14:paraId="49A2CEA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2、重大活动、节假日期间，中标人必须完成针对招标作业范围下达的临时任务，招标人不再支付任何费用。</w:t>
      </w:r>
    </w:p>
    <w:p w14:paraId="4EDC2FD6">
      <w:pPr>
        <w:spacing w:line="440" w:lineRule="exact"/>
        <w:ind w:firstLine="539"/>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3、全天候无条件接受甲方的工作安排。</w:t>
      </w:r>
    </w:p>
    <w:p w14:paraId="7ED36A3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4、投标人必须编制雨雪冰冻恶劣天气及突发事件等特殊情况下的应急处置方案。</w:t>
      </w:r>
    </w:p>
    <w:p w14:paraId="65DBAEA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投标人应根据本项目的规模及工作难度，按照招标文件中确定或给出的相关工作内容和要求，计算投标报价。总报价包括但不限于：人员工资（含社会保险费、福利费、劳保用品费用等）、设备设施费、保洁工具费、管理费(含工作人员意外保险费、事故处理费、资料费等)、税金、利润等一切费用。</w:t>
      </w:r>
    </w:p>
    <w:p w14:paraId="72B71F9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6、在合同履约期间，在招标人发包内容范围内发生意外事故涉及赔偿问题时，投标人承担全部责任。</w:t>
      </w:r>
    </w:p>
    <w:p w14:paraId="682D836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7、中标人应按招标人要求做好台账记录，编制相关工作资料等，费用包含在投标总价中，不另单列。</w:t>
      </w:r>
    </w:p>
    <w:p w14:paraId="26A2692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中标人在合同期内，除采购范围调整外，均由投标人自行承担（包括但不限于市场波动、政府规费、工资保险政策性上调、材料设备调整、遇物价上涨、政策性调资等情况）报价风险，中标价即为合同价，招标人按合同规定支付直至合同期止。</w:t>
      </w:r>
    </w:p>
    <w:p w14:paraId="0DCE381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9、服务费按年计算，各项费用的报价均以年为时间单位。投标报价一律以人民币为货币单位。</w:t>
      </w:r>
    </w:p>
    <w:p w14:paraId="72E616E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10、其他机械设备，可自有可租用，但必须保证突发事件等特殊情况时能随时正常使用。</w:t>
      </w:r>
    </w:p>
    <w:p w14:paraId="691F3EB9">
      <w:pPr>
        <w:spacing w:line="440" w:lineRule="exact"/>
        <w:ind w:firstLine="539"/>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11、中标单位需租赁或购买相关机械车辆（重型特殊结构货车两辆、轻型特殊结构货车一辆，半吨、1.5吨 、3吨铲车各一辆 。租赁价格为6.5万元/年，购买价格以有资质的第三方评估价65万元为准）</w:t>
      </w:r>
      <w:r>
        <w:rPr>
          <w:rFonts w:hint="eastAsia" w:ascii="宋体" w:hAnsi="宋体"/>
          <w:color w:val="auto"/>
          <w:sz w:val="24"/>
          <w:szCs w:val="24"/>
          <w:highlight w:val="none"/>
          <w:lang w:val="en-US" w:eastAsia="zh-CN"/>
        </w:rPr>
        <w:t>。</w:t>
      </w:r>
    </w:p>
    <w:p w14:paraId="19BC895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12、运输车辆和其他机械设备均具有防抛洒滴漏、臭味扬溢扩散和安全警示装置。</w:t>
      </w:r>
    </w:p>
    <w:p w14:paraId="781E3C4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13、垃圾容器数为目前配置数，今后如有调整，投标总价不变；</w:t>
      </w:r>
    </w:p>
    <w:p w14:paraId="1320DC8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14、由于工程施工、各类活动、节假日期间等因素导致的费用，不论这些因素是可预测或不可预测的，均已包含在投标报价中，招标人不再增加费用；</w:t>
      </w:r>
    </w:p>
    <w:p w14:paraId="4F5D31A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15、人员配备数量不得低于《人员最低要求明细表》；</w:t>
      </w:r>
    </w:p>
    <w:p w14:paraId="69DFBAB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16、少量垃圾杂物必须及时清理，如有大量的垃圾杂物、装潢垃圾或发现正在装修的住户，必须及时掌握情况和处置；</w:t>
      </w:r>
    </w:p>
    <w:p w14:paraId="0803324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17、作业包内环卫设施（果壳箱、垃圾桶（池）、分类收集站台、取水消防栓等）、路政设施（窨井盖、雨水篦子、路面开挖面等）、公厕内部设施等损坏，应在2小时内向镇主管部门汇报。</w:t>
      </w:r>
    </w:p>
    <w:p w14:paraId="3E1E03C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18、政策性调整（如人工、材料、机具设备、规费、保险、税金的调整，其它费用的调整或出现新的费用等），投标总价不作调整；</w:t>
      </w:r>
    </w:p>
    <w:p w14:paraId="32559FC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19、风险因素的变化，除招标人要求外，投标总价不作调整。</w:t>
      </w:r>
    </w:p>
    <w:p w14:paraId="3F4AC25A">
      <w:pPr>
        <w:jc w:val="center"/>
        <w:rPr>
          <w:rFonts w:hint="eastAsia" w:ascii="仿宋_GB2312" w:hAnsi="仿宋_GB2312" w:eastAsia="仿宋_GB2312" w:cs="仿宋_GB2312"/>
          <w:b/>
          <w:bCs/>
          <w:color w:val="auto"/>
          <w:sz w:val="28"/>
          <w:szCs w:val="28"/>
        </w:rPr>
      </w:pPr>
    </w:p>
    <w:p w14:paraId="456C7FF2">
      <w:pPr>
        <w:jc w:val="center"/>
        <w:rPr>
          <w:rFonts w:hint="eastAsia" w:ascii="仿宋_GB2312" w:hAnsi="仿宋_GB2312" w:eastAsia="仿宋_GB2312" w:cs="仿宋_GB2312"/>
          <w:b/>
          <w:bCs/>
          <w:color w:val="auto"/>
          <w:sz w:val="28"/>
          <w:szCs w:val="28"/>
        </w:rPr>
      </w:pPr>
    </w:p>
    <w:p w14:paraId="07FB068C">
      <w:pPr>
        <w:jc w:val="center"/>
        <w:rPr>
          <w:rFonts w:hint="eastAsia" w:ascii="仿宋_GB2312" w:hAnsi="仿宋_GB2312" w:eastAsia="仿宋_GB2312" w:cs="仿宋_GB2312"/>
          <w:b/>
          <w:bCs/>
          <w:color w:val="auto"/>
          <w:sz w:val="28"/>
          <w:szCs w:val="28"/>
        </w:rPr>
      </w:pPr>
    </w:p>
    <w:p w14:paraId="0567C0EB">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十一、人员最低要求</w:t>
      </w:r>
    </w:p>
    <w:p w14:paraId="3AAFFE67">
      <w:pPr>
        <w:jc w:val="center"/>
        <w:rPr>
          <w:rFonts w:hint="eastAsia" w:ascii="仿宋_GB2312" w:hAnsi="仿宋_GB2312" w:eastAsia="仿宋_GB2312" w:cs="仿宋_GB2312"/>
          <w:b/>
          <w:bCs/>
          <w:color w:val="auto"/>
          <w:sz w:val="28"/>
          <w:szCs w:val="28"/>
        </w:rPr>
      </w:pPr>
    </w:p>
    <w:p w14:paraId="5612A6CB">
      <w:pPr>
        <w:jc w:val="center"/>
        <w:rPr>
          <w:rFonts w:hint="eastAsia" w:ascii="仿宋_GB2312" w:hAnsi="仿宋_GB2312" w:eastAsia="仿宋_GB2312" w:cs="仿宋_GB2312"/>
          <w:b/>
          <w:bCs/>
          <w:color w:val="auto"/>
          <w:sz w:val="28"/>
          <w:szCs w:val="28"/>
        </w:rPr>
      </w:pPr>
    </w:p>
    <w:p w14:paraId="2F3248BC">
      <w:pPr>
        <w:jc w:val="center"/>
        <w:rPr>
          <w:rFonts w:hint="eastAsia" w:ascii="仿宋_GB2312" w:hAnsi="仿宋_GB2312" w:eastAsia="仿宋_GB2312" w:cs="仿宋_GB2312"/>
          <w:b/>
          <w:bCs/>
          <w:color w:val="auto"/>
          <w:sz w:val="28"/>
          <w:szCs w:val="28"/>
        </w:rPr>
      </w:pPr>
    </w:p>
    <w:p w14:paraId="72A26EC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人员最低要求明细表</w:t>
      </w:r>
    </w:p>
    <w:tbl>
      <w:tblPr>
        <w:tblStyle w:val="43"/>
        <w:tblW w:w="8631" w:type="dxa"/>
        <w:tblInd w:w="0" w:type="dxa"/>
        <w:tblLayout w:type="fixed"/>
        <w:tblCellMar>
          <w:top w:w="0" w:type="dxa"/>
          <w:left w:w="108" w:type="dxa"/>
          <w:bottom w:w="0" w:type="dxa"/>
          <w:right w:w="108" w:type="dxa"/>
        </w:tblCellMar>
      </w:tblPr>
      <w:tblGrid>
        <w:gridCol w:w="1902"/>
        <w:gridCol w:w="1782"/>
        <w:gridCol w:w="1782"/>
        <w:gridCol w:w="1783"/>
        <w:gridCol w:w="1382"/>
      </w:tblGrid>
      <w:tr w14:paraId="475725E2">
        <w:tblPrEx>
          <w:tblCellMar>
            <w:top w:w="0" w:type="dxa"/>
            <w:left w:w="108" w:type="dxa"/>
            <w:bottom w:w="0" w:type="dxa"/>
            <w:right w:w="108" w:type="dxa"/>
          </w:tblCellMar>
        </w:tblPrEx>
        <w:trPr>
          <w:trHeight w:val="522" w:hRule="exact"/>
        </w:trPr>
        <w:tc>
          <w:tcPr>
            <w:tcW w:w="1902" w:type="dxa"/>
            <w:vMerge w:val="restart"/>
            <w:tcBorders>
              <w:top w:val="single" w:color="auto" w:sz="4" w:space="0"/>
              <w:left w:val="single" w:color="auto" w:sz="4" w:space="0"/>
              <w:bottom w:val="single" w:color="000000" w:sz="4" w:space="0"/>
              <w:right w:val="single" w:color="auto" w:sz="4" w:space="0"/>
            </w:tcBorders>
            <w:noWrap w:val="0"/>
            <w:vAlign w:val="center"/>
          </w:tcPr>
          <w:p w14:paraId="08F75242">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5347" w:type="dxa"/>
            <w:gridSpan w:val="3"/>
            <w:tcBorders>
              <w:top w:val="single" w:color="auto" w:sz="4" w:space="0"/>
              <w:left w:val="single" w:color="auto" w:sz="4" w:space="0"/>
              <w:bottom w:val="single" w:color="auto" w:sz="4" w:space="0"/>
              <w:right w:val="single" w:color="auto" w:sz="4" w:space="0"/>
            </w:tcBorders>
            <w:noWrap w:val="0"/>
            <w:vAlign w:val="center"/>
          </w:tcPr>
          <w:p w14:paraId="188DA607">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人员配置</w:t>
            </w:r>
          </w:p>
        </w:tc>
        <w:tc>
          <w:tcPr>
            <w:tcW w:w="1382" w:type="dxa"/>
            <w:vMerge w:val="restart"/>
            <w:tcBorders>
              <w:top w:val="single" w:color="auto" w:sz="4" w:space="0"/>
              <w:left w:val="nil"/>
              <w:right w:val="single" w:color="auto" w:sz="4" w:space="0"/>
            </w:tcBorders>
            <w:noWrap w:val="0"/>
            <w:vAlign w:val="center"/>
          </w:tcPr>
          <w:p w14:paraId="4392D8E7">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r>
      <w:tr w14:paraId="7171C489">
        <w:tblPrEx>
          <w:tblCellMar>
            <w:top w:w="0" w:type="dxa"/>
            <w:left w:w="108" w:type="dxa"/>
            <w:bottom w:w="0" w:type="dxa"/>
            <w:right w:w="108" w:type="dxa"/>
          </w:tblCellMar>
        </w:tblPrEx>
        <w:trPr>
          <w:trHeight w:val="776" w:hRule="exact"/>
        </w:trPr>
        <w:tc>
          <w:tcPr>
            <w:tcW w:w="1902" w:type="dxa"/>
            <w:vMerge w:val="continue"/>
            <w:tcBorders>
              <w:top w:val="single" w:color="auto" w:sz="4" w:space="0"/>
              <w:left w:val="single" w:color="auto" w:sz="4" w:space="0"/>
              <w:bottom w:val="single" w:color="auto" w:sz="4" w:space="0"/>
              <w:right w:val="single" w:color="auto" w:sz="4" w:space="0"/>
            </w:tcBorders>
            <w:noWrap w:val="0"/>
            <w:vAlign w:val="center"/>
          </w:tcPr>
          <w:p w14:paraId="2A74E7BF">
            <w:pPr>
              <w:rPr>
                <w:rFonts w:ascii="仿宋_GB2312" w:hAnsi="仿宋_GB2312" w:eastAsia="仿宋_GB2312" w:cs="仿宋_GB2312"/>
                <w:color w:val="auto"/>
                <w:sz w:val="28"/>
                <w:szCs w:val="28"/>
              </w:rPr>
            </w:pPr>
          </w:p>
        </w:tc>
        <w:tc>
          <w:tcPr>
            <w:tcW w:w="1782" w:type="dxa"/>
            <w:tcBorders>
              <w:top w:val="nil"/>
              <w:left w:val="single" w:color="auto" w:sz="4" w:space="0"/>
              <w:bottom w:val="single" w:color="auto" w:sz="4" w:space="0"/>
              <w:right w:val="single" w:color="auto" w:sz="4" w:space="0"/>
            </w:tcBorders>
            <w:noWrap w:val="0"/>
            <w:vAlign w:val="center"/>
          </w:tcPr>
          <w:p w14:paraId="4C54BA51">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项目负责人</w:t>
            </w:r>
          </w:p>
        </w:tc>
        <w:tc>
          <w:tcPr>
            <w:tcW w:w="1782" w:type="dxa"/>
            <w:tcBorders>
              <w:top w:val="nil"/>
              <w:left w:val="nil"/>
              <w:bottom w:val="single" w:color="auto" w:sz="4" w:space="0"/>
              <w:right w:val="single" w:color="auto" w:sz="4" w:space="0"/>
            </w:tcBorders>
            <w:noWrap w:val="0"/>
            <w:vAlign w:val="center"/>
          </w:tcPr>
          <w:p w14:paraId="491083A1">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垃圾收集清运人员</w:t>
            </w:r>
          </w:p>
        </w:tc>
        <w:tc>
          <w:tcPr>
            <w:tcW w:w="1783" w:type="dxa"/>
            <w:tcBorders>
              <w:top w:val="nil"/>
              <w:left w:val="nil"/>
              <w:bottom w:val="single" w:color="auto" w:sz="4" w:space="0"/>
              <w:right w:val="single" w:color="auto" w:sz="4" w:space="0"/>
            </w:tcBorders>
            <w:noWrap w:val="0"/>
            <w:vAlign w:val="center"/>
          </w:tcPr>
          <w:p w14:paraId="6EF51148">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道路机械化作业人员</w:t>
            </w:r>
          </w:p>
        </w:tc>
        <w:tc>
          <w:tcPr>
            <w:tcW w:w="1382" w:type="dxa"/>
            <w:vMerge w:val="continue"/>
            <w:tcBorders>
              <w:left w:val="nil"/>
              <w:bottom w:val="single" w:color="auto" w:sz="4" w:space="0"/>
              <w:right w:val="single" w:color="auto" w:sz="4" w:space="0"/>
            </w:tcBorders>
            <w:noWrap w:val="0"/>
            <w:vAlign w:val="center"/>
          </w:tcPr>
          <w:p w14:paraId="35187A8C">
            <w:pPr>
              <w:jc w:val="center"/>
              <w:rPr>
                <w:rFonts w:ascii="仿宋_GB2312" w:hAnsi="仿宋_GB2312" w:eastAsia="仿宋_GB2312" w:cs="仿宋_GB2312"/>
                <w:color w:val="auto"/>
                <w:sz w:val="24"/>
              </w:rPr>
            </w:pPr>
          </w:p>
        </w:tc>
      </w:tr>
      <w:tr w14:paraId="1180FFA5">
        <w:tblPrEx>
          <w:tblCellMar>
            <w:top w:w="0" w:type="dxa"/>
            <w:left w:w="108" w:type="dxa"/>
            <w:bottom w:w="0" w:type="dxa"/>
            <w:right w:w="108" w:type="dxa"/>
          </w:tblCellMar>
        </w:tblPrEx>
        <w:trPr>
          <w:trHeight w:val="1146" w:hRule="exact"/>
        </w:trPr>
        <w:tc>
          <w:tcPr>
            <w:tcW w:w="1902" w:type="dxa"/>
            <w:tcBorders>
              <w:top w:val="single" w:color="auto" w:sz="4" w:space="0"/>
              <w:left w:val="single" w:color="auto" w:sz="4" w:space="0"/>
              <w:bottom w:val="single" w:color="auto" w:sz="4" w:space="0"/>
              <w:right w:val="single" w:color="auto" w:sz="4" w:space="0"/>
            </w:tcBorders>
            <w:noWrap w:val="0"/>
            <w:vAlign w:val="center"/>
          </w:tcPr>
          <w:p w14:paraId="539070C9">
            <w:pPr>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4"/>
                <w:szCs w:val="24"/>
                <w:lang w:eastAsia="zh-CN"/>
              </w:rPr>
              <w:t>扬中市</w:t>
            </w:r>
            <w:r>
              <w:rPr>
                <w:rFonts w:hint="eastAsia" w:ascii="仿宋_GB2312" w:hAnsi="仿宋_GB2312" w:eastAsia="仿宋_GB2312" w:cs="仿宋_GB2312"/>
                <w:color w:val="auto"/>
                <w:sz w:val="24"/>
                <w:szCs w:val="24"/>
                <w:lang w:val="en-US" w:eastAsia="zh-CN"/>
              </w:rPr>
              <w:t>西来桥</w:t>
            </w:r>
            <w:r>
              <w:rPr>
                <w:rFonts w:hint="eastAsia" w:ascii="仿宋_GB2312" w:hAnsi="仿宋_GB2312" w:eastAsia="仿宋_GB2312" w:cs="仿宋_GB2312"/>
                <w:color w:val="auto"/>
                <w:sz w:val="24"/>
                <w:szCs w:val="24"/>
                <w:lang w:eastAsia="zh-CN"/>
              </w:rPr>
              <w:t>镇环卫市场化运作项目</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02CF9F5">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6CA36F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6D53791">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160E01C">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r>
      <w:tr w14:paraId="76733F3B">
        <w:tblPrEx>
          <w:tblCellMar>
            <w:top w:w="0" w:type="dxa"/>
            <w:left w:w="108" w:type="dxa"/>
            <w:bottom w:w="0" w:type="dxa"/>
            <w:right w:w="108" w:type="dxa"/>
          </w:tblCellMar>
        </w:tblPrEx>
        <w:trPr>
          <w:trHeight w:val="1621" w:hRule="exact"/>
        </w:trPr>
        <w:tc>
          <w:tcPr>
            <w:tcW w:w="8631" w:type="dxa"/>
            <w:gridSpan w:val="5"/>
            <w:tcBorders>
              <w:top w:val="single" w:color="auto" w:sz="4" w:space="0"/>
              <w:left w:val="single" w:color="auto" w:sz="4" w:space="0"/>
              <w:bottom w:val="single" w:color="auto" w:sz="4" w:space="0"/>
              <w:right w:val="single" w:color="auto" w:sz="4" w:space="0"/>
            </w:tcBorders>
            <w:noWrap w:val="0"/>
            <w:vAlign w:val="top"/>
          </w:tcPr>
          <w:p w14:paraId="44CEAE0C">
            <w:pPr>
              <w:pStyle w:val="6"/>
              <w:jc w:val="both"/>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注：1、以上人员配置要求为最低要求，各投标人可根据本项目具体情况合理安排投入本项目的人数，并在投标文件中加以表述，一旦中标，招标人将严格按照投标文件中投入的人员进行考核。</w:t>
            </w:r>
          </w:p>
          <w:p w14:paraId="7232ECB0">
            <w:pPr>
              <w:pStyle w:val="6"/>
              <w:ind w:firstLine="482" w:firstLineChars="0"/>
              <w:jc w:val="both"/>
              <w:rPr>
                <w:rFonts w:ascii="仿宋_GB2312" w:hAnsi="仿宋_GB2312" w:eastAsia="仿宋_GB2312" w:cs="仿宋_GB2312"/>
                <w:color w:val="auto"/>
              </w:rPr>
            </w:pPr>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sz w:val="24"/>
                <w:szCs w:val="24"/>
              </w:rPr>
              <w:t>、若投标人拟投入人员低于招标文件最低要求的，视为未实质性响应本项目招标文件，作无效投标处理。</w:t>
            </w:r>
          </w:p>
        </w:tc>
      </w:tr>
    </w:tbl>
    <w:p w14:paraId="5DF140F1">
      <w:pPr>
        <w:rPr>
          <w:rFonts w:ascii="仿宋_GB2312" w:hAnsi="仿宋_GB2312" w:eastAsia="仿宋_GB2312" w:cs="仿宋_GB2312"/>
          <w:color w:val="auto"/>
          <w:sz w:val="28"/>
          <w:szCs w:val="28"/>
        </w:rPr>
        <w:sectPr>
          <w:headerReference r:id="rId6" w:type="default"/>
          <w:footerReference r:id="rId7" w:type="default"/>
          <w:pgSz w:w="11906" w:h="16838"/>
          <w:pgMar w:top="1440" w:right="1803" w:bottom="1440" w:left="1803" w:header="851" w:footer="992" w:gutter="0"/>
          <w:pgNumType w:start="1"/>
          <w:cols w:space="720" w:num="1"/>
          <w:docGrid w:linePitch="360" w:charSpace="0"/>
        </w:sectPr>
      </w:pPr>
    </w:p>
    <w:p w14:paraId="654E4A50">
      <w:pPr>
        <w:snapToGrid w:val="0"/>
        <w:spacing w:before="145" w:beforeLines="50" w:after="145" w:afterLines="50" w:line="440" w:lineRule="exact"/>
        <w:rPr>
          <w:rFonts w:hint="eastAsia" w:ascii="宋体" w:hAnsi="宋体" w:cs="Courier New"/>
          <w:b/>
          <w:sz w:val="24"/>
          <w:szCs w:val="24"/>
          <w:lang w:val="en-US" w:eastAsia="zh-CN"/>
        </w:rPr>
      </w:pPr>
      <w:r>
        <w:rPr>
          <w:rFonts w:hint="eastAsia" w:ascii="宋体" w:hAnsi="宋体" w:cs="Courier New"/>
          <w:b/>
          <w:sz w:val="24"/>
          <w:szCs w:val="24"/>
          <w:lang w:val="en-US" w:eastAsia="zh-CN"/>
        </w:rPr>
        <w:t>十二、机械化车辆配置最低要求</w:t>
      </w:r>
    </w:p>
    <w:p w14:paraId="420BEE4C">
      <w:pPr>
        <w:jc w:val="center"/>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机械化车辆配置最低要求</w:t>
      </w:r>
    </w:p>
    <w:tbl>
      <w:tblPr>
        <w:tblStyle w:val="43"/>
        <w:tblW w:w="11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690"/>
        <w:gridCol w:w="1328"/>
        <w:gridCol w:w="1967"/>
        <w:gridCol w:w="1866"/>
        <w:gridCol w:w="2626"/>
      </w:tblGrid>
      <w:tr w14:paraId="0977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2375" w:type="dxa"/>
            <w:noWrap w:val="0"/>
            <w:vAlign w:val="center"/>
          </w:tcPr>
          <w:p w14:paraId="70DD2286">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项目名称</w:t>
            </w:r>
          </w:p>
        </w:tc>
        <w:tc>
          <w:tcPr>
            <w:tcW w:w="9477" w:type="dxa"/>
            <w:gridSpan w:val="5"/>
            <w:noWrap w:val="0"/>
            <w:vAlign w:val="center"/>
          </w:tcPr>
          <w:p w14:paraId="0CC87500">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专业设备要求（辆）</w:t>
            </w:r>
          </w:p>
        </w:tc>
      </w:tr>
      <w:tr w14:paraId="6843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2375" w:type="dxa"/>
            <w:vMerge w:val="restart"/>
            <w:noWrap w:val="0"/>
            <w:vAlign w:val="center"/>
          </w:tcPr>
          <w:p w14:paraId="7C7976A8">
            <w:pPr>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扬中市西来桥镇环卫市场化运作项目</w:t>
            </w:r>
          </w:p>
        </w:tc>
        <w:tc>
          <w:tcPr>
            <w:tcW w:w="9477" w:type="dxa"/>
            <w:gridSpan w:val="5"/>
            <w:noWrap w:val="0"/>
            <w:vAlign w:val="center"/>
          </w:tcPr>
          <w:p w14:paraId="65158618">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7辆 </w:t>
            </w:r>
          </w:p>
        </w:tc>
      </w:tr>
      <w:tr w14:paraId="32E2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2375" w:type="dxa"/>
            <w:vMerge w:val="continue"/>
            <w:noWrap w:val="0"/>
            <w:vAlign w:val="center"/>
          </w:tcPr>
          <w:p w14:paraId="4A955C8E">
            <w:pPr>
              <w:jc w:val="center"/>
              <w:rPr>
                <w:rFonts w:ascii="仿宋_GB2312" w:hAnsi="仿宋_GB2312" w:eastAsia="仿宋_GB2312" w:cs="仿宋_GB2312"/>
                <w:color w:val="auto"/>
                <w:sz w:val="21"/>
                <w:szCs w:val="21"/>
              </w:rPr>
            </w:pPr>
          </w:p>
        </w:tc>
        <w:tc>
          <w:tcPr>
            <w:tcW w:w="1690" w:type="dxa"/>
            <w:noWrap w:val="0"/>
            <w:vAlign w:val="center"/>
          </w:tcPr>
          <w:p w14:paraId="40DCEC23">
            <w:pPr>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 </w:t>
            </w:r>
          </w:p>
          <w:p w14:paraId="1386941F">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吨压缩车</w:t>
            </w:r>
          </w:p>
        </w:tc>
        <w:tc>
          <w:tcPr>
            <w:tcW w:w="1328" w:type="dxa"/>
            <w:noWrap w:val="0"/>
            <w:vAlign w:val="center"/>
          </w:tcPr>
          <w:p w14:paraId="588A6315">
            <w:pPr>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 xml:space="preserve"> </w:t>
            </w:r>
          </w:p>
          <w:p w14:paraId="215ECD20">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10吨压缩车</w:t>
            </w:r>
          </w:p>
        </w:tc>
        <w:tc>
          <w:tcPr>
            <w:tcW w:w="1967" w:type="dxa"/>
            <w:noWrap w:val="0"/>
            <w:vAlign w:val="center"/>
          </w:tcPr>
          <w:p w14:paraId="0F2ED890">
            <w:pPr>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吨</w:t>
            </w:r>
            <w:r>
              <w:rPr>
                <w:rFonts w:hint="eastAsia" w:ascii="仿宋_GB2312" w:hAnsi="仿宋_GB2312" w:eastAsia="仿宋_GB2312" w:cs="仿宋_GB2312"/>
                <w:color w:val="auto"/>
                <w:sz w:val="21"/>
                <w:szCs w:val="21"/>
                <w:lang w:val="en-US" w:eastAsia="zh-CN"/>
              </w:rPr>
              <w:t>压缩车</w:t>
            </w:r>
          </w:p>
        </w:tc>
        <w:tc>
          <w:tcPr>
            <w:tcW w:w="1866" w:type="dxa"/>
            <w:noWrap w:val="0"/>
            <w:vAlign w:val="center"/>
          </w:tcPr>
          <w:p w14:paraId="20B20CF6">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垃圾收集</w:t>
            </w:r>
            <w:r>
              <w:rPr>
                <w:rFonts w:hint="eastAsia" w:ascii="仿宋_GB2312" w:hAnsi="仿宋_GB2312" w:eastAsia="仿宋_GB2312" w:cs="仿宋_GB2312"/>
                <w:color w:val="auto"/>
                <w:sz w:val="21"/>
                <w:szCs w:val="21"/>
              </w:rPr>
              <w:t>电瓶车</w:t>
            </w:r>
          </w:p>
        </w:tc>
        <w:tc>
          <w:tcPr>
            <w:tcW w:w="2626" w:type="dxa"/>
            <w:noWrap w:val="0"/>
            <w:vAlign w:val="center"/>
          </w:tcPr>
          <w:p w14:paraId="62281C2D">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3吨铲车</w:t>
            </w:r>
          </w:p>
        </w:tc>
      </w:tr>
      <w:tr w14:paraId="7640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375" w:type="dxa"/>
            <w:vMerge w:val="continue"/>
            <w:noWrap w:val="0"/>
            <w:vAlign w:val="center"/>
          </w:tcPr>
          <w:p w14:paraId="345266AD">
            <w:pPr>
              <w:jc w:val="center"/>
              <w:rPr>
                <w:rFonts w:ascii="仿宋_GB2312" w:hAnsi="仿宋_GB2312" w:eastAsia="仿宋_GB2312" w:cs="仿宋_GB2312"/>
                <w:color w:val="auto"/>
                <w:sz w:val="21"/>
                <w:szCs w:val="21"/>
              </w:rPr>
            </w:pPr>
          </w:p>
        </w:tc>
        <w:tc>
          <w:tcPr>
            <w:tcW w:w="1690" w:type="dxa"/>
            <w:noWrap w:val="0"/>
            <w:vAlign w:val="center"/>
          </w:tcPr>
          <w:p w14:paraId="4CD53F5C">
            <w:pPr>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1辆</w:t>
            </w:r>
          </w:p>
        </w:tc>
        <w:tc>
          <w:tcPr>
            <w:tcW w:w="1328" w:type="dxa"/>
            <w:noWrap w:val="0"/>
            <w:vAlign w:val="center"/>
          </w:tcPr>
          <w:p w14:paraId="0440D557">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辆</w:t>
            </w:r>
          </w:p>
        </w:tc>
        <w:tc>
          <w:tcPr>
            <w:tcW w:w="1967" w:type="dxa"/>
            <w:noWrap w:val="0"/>
            <w:vAlign w:val="center"/>
          </w:tcPr>
          <w:p w14:paraId="371B0152">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eastAsia="zh-CN"/>
              </w:rPr>
              <w:t>辆</w:t>
            </w:r>
          </w:p>
        </w:tc>
        <w:tc>
          <w:tcPr>
            <w:tcW w:w="1866" w:type="dxa"/>
            <w:noWrap w:val="0"/>
            <w:vAlign w:val="center"/>
          </w:tcPr>
          <w:p w14:paraId="49914990">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辆</w:t>
            </w:r>
          </w:p>
        </w:tc>
        <w:tc>
          <w:tcPr>
            <w:tcW w:w="2626" w:type="dxa"/>
            <w:noWrap w:val="0"/>
            <w:vAlign w:val="center"/>
          </w:tcPr>
          <w:p w14:paraId="79D631CE">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1辆</w:t>
            </w:r>
          </w:p>
        </w:tc>
      </w:tr>
      <w:tr w14:paraId="07B5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exact"/>
          <w:jc w:val="center"/>
        </w:trPr>
        <w:tc>
          <w:tcPr>
            <w:tcW w:w="11852" w:type="dxa"/>
            <w:gridSpan w:val="6"/>
            <w:noWrap w:val="0"/>
            <w:vAlign w:val="center"/>
          </w:tcPr>
          <w:p w14:paraId="2F8993A4">
            <w:pPr>
              <w:pStyle w:val="6"/>
              <w:jc w:val="both"/>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rPr>
              <w:t>注：1、以上车辆配置要求为最低要求（不包含招标人自有车辆）且购买时间自本项目招标公告起不超过3年，各投标人可根据本项</w:t>
            </w:r>
            <w:r>
              <w:rPr>
                <w:rFonts w:hint="eastAsia" w:ascii="仿宋_GB2312" w:hAnsi="仿宋_GB2312" w:eastAsia="仿宋_GB2312" w:cs="仿宋_GB2312"/>
                <w:b/>
                <w:bCs/>
                <w:color w:val="auto"/>
                <w:sz w:val="24"/>
                <w:szCs w:val="24"/>
                <w:highlight w:val="none"/>
              </w:rPr>
              <w:t>目具体情况合理安排投入本项目的车辆配置，并在投标文件中加以表述，一旦中标，招标人将严格按照投标文件中投入的车辆进行考核。车辆为投标人自有车辆的，需在投标响应文件中提供行驶证、购车发票、机动车登记证书复印件加盖公章装订至投标文件相应位置，不提供相关证明材料的视为未响应本项目招标文件，作无效投标处理。</w:t>
            </w:r>
          </w:p>
          <w:p w14:paraId="539E4525">
            <w:pPr>
              <w:pStyle w:val="6"/>
              <w:ind w:firstLine="482"/>
              <w:jc w:val="both"/>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若在招投标阶段投标人车辆暂时不能满足招标人机械化车辆配置最低要求的，投标人需在投标文件中承诺中标后投入机械化车辆不低于招标文件机械化车辆配置最低要求（承诺函格式自拟，承诺在中标公告之日起一个月之内按本项目最低车辆配置要求配齐），车辆不能满足招标人要求且不提供承诺函的视为未实质性响应本项目招标文件，作无效投标处理。</w:t>
            </w:r>
          </w:p>
          <w:p w14:paraId="4C7CA1B4">
            <w:pPr>
              <w:pStyle w:val="6"/>
              <w:ind w:firstLine="482"/>
              <w:jc w:val="both"/>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3、在招标阶段车辆不能满足招标人最低要求仅提供承诺函的</w:t>
            </w: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一旦中标，中标后车辆不能满足招标人要求的，招标人将取消其中标资格。</w:t>
            </w:r>
          </w:p>
          <w:p w14:paraId="09E22216">
            <w:pPr>
              <w:pStyle w:val="6"/>
              <w:ind w:firstLine="482"/>
              <w:jc w:val="both"/>
              <w:rPr>
                <w:rFonts w:hint="default" w:ascii="仿宋_GB2312" w:hAnsi="仿宋_GB2312" w:eastAsia="仿宋_GB2312" w:cs="仿宋_GB2312"/>
                <w:b/>
                <w:bCs/>
                <w:color w:val="auto"/>
                <w:sz w:val="24"/>
                <w:szCs w:val="24"/>
                <w:highlight w:val="none"/>
                <w:lang w:val="en-US"/>
              </w:rPr>
            </w:pPr>
            <w:r>
              <w:rPr>
                <w:rFonts w:hint="eastAsia" w:ascii="仿宋_GB2312" w:hAnsi="仿宋_GB2312" w:eastAsia="仿宋_GB2312" w:cs="仿宋_GB2312"/>
                <w:b/>
                <w:bCs/>
                <w:color w:val="auto"/>
                <w:sz w:val="24"/>
                <w:szCs w:val="24"/>
                <w:highlight w:val="none"/>
              </w:rPr>
              <w:t>4、</w:t>
            </w:r>
            <w:r>
              <w:rPr>
                <w:rFonts w:hint="eastAsia" w:ascii="仿宋_GB2312" w:hAnsi="仿宋_GB2312" w:eastAsia="仿宋_GB2312" w:cs="仿宋_GB2312"/>
                <w:b/>
                <w:bCs/>
                <w:color w:val="auto"/>
                <w:sz w:val="24"/>
                <w:szCs w:val="24"/>
                <w:highlight w:val="none"/>
                <w:lang w:val="en-US" w:eastAsia="zh-CN"/>
              </w:rPr>
              <w:t>西来桥镇现有垃圾车统计1辆3吨压缩车，中标单位可选择使用，由中标单位负责车辆一切费用。</w:t>
            </w:r>
          </w:p>
          <w:p w14:paraId="2AF2BE2A">
            <w:pPr>
              <w:pStyle w:val="6"/>
              <w:ind w:firstLine="482" w:firstLineChars="0"/>
              <w:jc w:val="both"/>
              <w:rPr>
                <w:rFonts w:hint="default" w:ascii="仿宋_GB2312" w:hAnsi="仿宋_GB2312" w:eastAsia="仿宋_GB2312" w:cs="仿宋_GB2312"/>
                <w:b/>
                <w:bCs/>
                <w:color w:val="auto"/>
                <w:sz w:val="24"/>
                <w:szCs w:val="24"/>
                <w:lang w:val="en-US" w:eastAsia="zh-CN"/>
              </w:rPr>
            </w:pPr>
          </w:p>
        </w:tc>
      </w:tr>
    </w:tbl>
    <w:p w14:paraId="779CB773">
      <w:pPr>
        <w:pStyle w:val="6"/>
        <w:rPr>
          <w:rFonts w:ascii="仿宋_GB2312" w:hAnsi="仿宋_GB2312" w:eastAsia="仿宋_GB2312" w:cs="仿宋_GB2312"/>
          <w:color w:val="0000FF"/>
          <w:sz w:val="28"/>
          <w:szCs w:val="28"/>
        </w:rPr>
      </w:pPr>
    </w:p>
    <w:p w14:paraId="3A6250CE">
      <w:pPr>
        <w:pStyle w:val="6"/>
        <w:rPr>
          <w:rFonts w:ascii="仿宋_GB2312" w:hAnsi="仿宋_GB2312" w:eastAsia="仿宋_GB2312" w:cs="仿宋_GB2312"/>
          <w:color w:val="0000FF"/>
          <w:sz w:val="28"/>
          <w:szCs w:val="28"/>
        </w:rPr>
      </w:pPr>
    </w:p>
    <w:p w14:paraId="550BB76B">
      <w:pPr>
        <w:pStyle w:val="6"/>
        <w:rPr>
          <w:rFonts w:ascii="仿宋_GB2312" w:hAnsi="仿宋_GB2312" w:eastAsia="仿宋_GB2312" w:cs="仿宋_GB2312"/>
          <w:color w:val="0000FF"/>
          <w:sz w:val="28"/>
          <w:szCs w:val="28"/>
        </w:rPr>
      </w:pPr>
    </w:p>
    <w:p w14:paraId="608CBD47">
      <w:pPr>
        <w:pStyle w:val="6"/>
        <w:rPr>
          <w:rFonts w:ascii="仿宋_GB2312" w:hAnsi="仿宋_GB2312" w:eastAsia="仿宋_GB2312" w:cs="仿宋_GB2312"/>
          <w:color w:val="0000FF"/>
          <w:sz w:val="28"/>
          <w:szCs w:val="28"/>
        </w:rPr>
      </w:pPr>
    </w:p>
    <w:p w14:paraId="554E043C">
      <w:pPr>
        <w:pStyle w:val="6"/>
        <w:widowControl w:val="0"/>
        <w:numPr>
          <w:ilvl w:val="0"/>
          <w:numId w:val="0"/>
        </w:numPr>
        <w:jc w:val="left"/>
        <w:rPr>
          <w:rFonts w:hint="eastAsia" w:ascii="仿宋_GB2312" w:hAnsi="仿宋_GB2312" w:eastAsia="仿宋_GB2312" w:cs="仿宋_GB2312"/>
          <w:color w:val="0000FF"/>
          <w:sz w:val="28"/>
          <w:szCs w:val="28"/>
          <w:lang w:val="en-US" w:eastAsia="zh-CN"/>
        </w:rPr>
        <w:sectPr>
          <w:headerReference r:id="rId8" w:type="default"/>
          <w:footerReference r:id="rId9" w:type="default"/>
          <w:pgSz w:w="16838" w:h="11906" w:orient="landscape"/>
          <w:pgMar w:top="1803" w:right="1440" w:bottom="1803" w:left="1440" w:header="851" w:footer="992" w:gutter="0"/>
          <w:cols w:space="720" w:num="1"/>
          <w:docGrid w:linePitch="360" w:charSpace="0"/>
        </w:sectPr>
      </w:pPr>
    </w:p>
    <w:p w14:paraId="09986998">
      <w:pPr>
        <w:pStyle w:val="3"/>
        <w:numPr>
          <w:ilvl w:val="0"/>
          <w:numId w:val="0"/>
        </w:numPr>
        <w:spacing w:line="360" w:lineRule="auto"/>
        <w:jc w:val="center"/>
        <w:outlineLvl w:val="0"/>
        <w:rPr>
          <w:rFonts w:hint="eastAsia" w:ascii="仿宋" w:hAnsi="仿宋" w:eastAsia="仿宋" w:cs="Times New Roman"/>
          <w:b/>
          <w:color w:val="auto"/>
          <w:sz w:val="44"/>
          <w:szCs w:val="44"/>
          <w:lang w:val="en-US" w:eastAsia="zh-CN"/>
        </w:rPr>
      </w:pPr>
      <w:r>
        <w:rPr>
          <w:rFonts w:hint="eastAsia" w:ascii="仿宋" w:hAnsi="仿宋" w:eastAsia="仿宋" w:cs="Times New Roman"/>
          <w:b/>
          <w:color w:val="auto"/>
          <w:sz w:val="44"/>
          <w:szCs w:val="44"/>
          <w:lang w:val="en-US" w:eastAsia="zh-CN"/>
        </w:rPr>
        <w:t>第五章  评审方法与评审标准</w:t>
      </w:r>
    </w:p>
    <w:p w14:paraId="54B12046">
      <w:pPr>
        <w:adjustRightInd w:val="0"/>
        <w:spacing w:line="440" w:lineRule="exact"/>
        <w:ind w:firstLine="441" w:firstLineChars="183"/>
        <w:jc w:val="left"/>
        <w:textAlignment w:val="baseline"/>
        <w:rPr>
          <w:rFonts w:hint="eastAsia" w:ascii="宋体" w:hAnsi="宋体"/>
          <w:b/>
          <w:sz w:val="24"/>
          <w:szCs w:val="24"/>
          <w:highlight w:val="yellow"/>
        </w:rPr>
      </w:pPr>
      <w:r>
        <w:rPr>
          <w:rFonts w:hint="eastAsia" w:ascii="宋体" w:hAnsi="宋体"/>
          <w:b/>
          <w:sz w:val="24"/>
          <w:szCs w:val="24"/>
        </w:rPr>
        <w:t>政府采购政策功能落实</w:t>
      </w:r>
    </w:p>
    <w:p w14:paraId="0E21F67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1、小微型企业价格扣除</w:t>
      </w:r>
    </w:p>
    <w:p w14:paraId="4A853A2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（1）本项目对小型和微型企业产品给予</w:t>
      </w:r>
      <w:r>
        <w:rPr>
          <w:rFonts w:hint="eastAsia" w:ascii="宋体" w:hAnsi="宋体"/>
          <w:color w:val="0000FF"/>
          <w:sz w:val="24"/>
          <w:szCs w:val="24"/>
          <w:u w:val="single"/>
          <w:lang w:val="en-US" w:eastAsia="zh-CN"/>
        </w:rPr>
        <w:t>/%</w:t>
      </w:r>
      <w:r>
        <w:rPr>
          <w:rFonts w:hint="eastAsia" w:ascii="宋体" w:hAnsi="宋体"/>
          <w:color w:val="auto"/>
          <w:sz w:val="24"/>
          <w:szCs w:val="24"/>
          <w:highlight w:val="none"/>
          <w:lang w:val="en-US" w:eastAsia="zh-CN"/>
        </w:rPr>
        <w:t>的扣除价格，用扣除后的价格参与评审。</w:t>
      </w:r>
    </w:p>
    <w:p w14:paraId="28F850D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（2）供应商需按照采购文件的要求提供相应的《中小企业声明函》。</w:t>
      </w:r>
    </w:p>
    <w:p w14:paraId="617467B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（3）企业标准请参照《关于印发中小企业划型标准规定的通知》（工信部联企业[2011]300号）文件规定自行填写。</w:t>
      </w:r>
    </w:p>
    <w:p w14:paraId="42BA12A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2、残疾人福利单位价格扣除</w:t>
      </w:r>
    </w:p>
    <w:p w14:paraId="71DBEF1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（1）本项目对残疾人福利性单位视同小型、微型企业，给予</w:t>
      </w:r>
      <w:r>
        <w:rPr>
          <w:rFonts w:hint="eastAsia" w:ascii="宋体" w:hAnsi="宋体"/>
          <w:color w:val="0000FF"/>
          <w:sz w:val="24"/>
          <w:szCs w:val="24"/>
          <w:u w:val="single"/>
          <w:lang w:val="en-US" w:eastAsia="zh-CN"/>
        </w:rPr>
        <w:t>/</w:t>
      </w:r>
      <w:r>
        <w:rPr>
          <w:rFonts w:hint="eastAsia" w:ascii="宋体" w:hAnsi="宋体"/>
          <w:color w:val="0000FF"/>
          <w:sz w:val="24"/>
          <w:szCs w:val="24"/>
          <w:u w:val="single"/>
        </w:rPr>
        <w:t>%</w:t>
      </w:r>
      <w:r>
        <w:rPr>
          <w:rFonts w:hint="eastAsia" w:ascii="宋体" w:hAnsi="宋体"/>
          <w:color w:val="auto"/>
          <w:sz w:val="24"/>
          <w:szCs w:val="24"/>
          <w:highlight w:val="none"/>
          <w:lang w:val="en-US" w:eastAsia="zh-CN"/>
        </w:rPr>
        <w:t>的价格扣除，用扣除后的价格参与评审。</w:t>
      </w:r>
    </w:p>
    <w:p w14:paraId="783343A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（2）残疾人福利单位需按照采购文件的要求提供《残疾人福利性单位声明函》。</w:t>
      </w:r>
    </w:p>
    <w:p w14:paraId="55E3C96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（3）残疾人福利单位标准请参照《关于促进残疾人就业政府采购政策的通知》（财库〔2017〕141号）。</w:t>
      </w:r>
    </w:p>
    <w:p w14:paraId="6239EF5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3、监狱和戒毒企业价格扣除</w:t>
      </w:r>
    </w:p>
    <w:p w14:paraId="63F5C36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（1）本项目对监狱和戒毒企业（简称监狱企业）视同小型、微型企业，给予</w:t>
      </w:r>
      <w:r>
        <w:rPr>
          <w:rFonts w:hint="eastAsia" w:ascii="宋体" w:hAnsi="宋体"/>
          <w:color w:val="0000FF"/>
          <w:sz w:val="24"/>
          <w:szCs w:val="24"/>
          <w:u w:val="single"/>
          <w:lang w:val="en-US" w:eastAsia="zh-CN"/>
        </w:rPr>
        <w:t>/</w:t>
      </w:r>
      <w:r>
        <w:rPr>
          <w:rFonts w:hint="eastAsia" w:ascii="宋体" w:hAnsi="宋体"/>
          <w:color w:val="0000FF"/>
          <w:sz w:val="24"/>
          <w:szCs w:val="24"/>
          <w:u w:val="single"/>
        </w:rPr>
        <w:t>%</w:t>
      </w:r>
      <w:r>
        <w:rPr>
          <w:rFonts w:hint="eastAsia" w:ascii="宋体" w:hAnsi="宋体"/>
          <w:color w:val="auto"/>
          <w:sz w:val="24"/>
          <w:szCs w:val="24"/>
          <w:highlight w:val="none"/>
          <w:lang w:val="en-US" w:eastAsia="zh-CN"/>
        </w:rPr>
        <w:t>的价格扣除，用扣除后的价格参与评审。</w:t>
      </w:r>
    </w:p>
    <w:p w14:paraId="7D92B5A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（2）监狱企业参加政府采购活动时，需提供由省级以上监狱管理局、戒毒管理局(含新疆生产建设兵团)出具的属于监狱企业的证明文件。供应商如不提供上述证明文件，价格将不做相应扣除。</w:t>
      </w:r>
    </w:p>
    <w:p w14:paraId="2A23623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（3）监狱企业标准请参照《关于政府采购支持监狱企业发展有关问题的通知》（财库[2014]68号）。</w:t>
      </w:r>
    </w:p>
    <w:p w14:paraId="0027A4C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4、残疾人福利单位、监狱企业属于小型、微型企业的，不重复享受政策。</w:t>
      </w:r>
    </w:p>
    <w:p w14:paraId="10235C6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如本项目同意联合体参加磋商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color w:val="0000FF"/>
          <w:sz w:val="24"/>
          <w:szCs w:val="24"/>
          <w:u w:val="single"/>
          <w:lang w:val="en-US" w:eastAsia="zh-CN"/>
        </w:rPr>
        <w:t>/</w:t>
      </w:r>
      <w:r>
        <w:rPr>
          <w:rFonts w:hint="eastAsia" w:ascii="宋体" w:hAnsi="宋体"/>
          <w:color w:val="0000FF"/>
          <w:sz w:val="24"/>
          <w:szCs w:val="24"/>
          <w:u w:val="single"/>
        </w:rPr>
        <w:t>%</w:t>
      </w:r>
      <w:r>
        <w:rPr>
          <w:rFonts w:hint="eastAsia" w:ascii="宋体" w:hAnsi="宋体"/>
          <w:color w:val="auto"/>
          <w:sz w:val="24"/>
          <w:szCs w:val="24"/>
          <w:highlight w:val="none"/>
          <w:lang w:val="en-US" w:eastAsia="zh-CN"/>
        </w:rPr>
        <w:t>的价格扣除，用扣除后的价格参与评审。</w:t>
      </w:r>
    </w:p>
    <w:p w14:paraId="6C0870B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6、联合体各方均为小型、微型企业（残疾人福利单位、监狱企业）的，联合体享受</w:t>
      </w:r>
      <w:r>
        <w:rPr>
          <w:rFonts w:hint="eastAsia" w:ascii="宋体" w:hAnsi="宋体"/>
          <w:color w:val="0000FF"/>
          <w:sz w:val="24"/>
          <w:szCs w:val="24"/>
          <w:u w:val="single"/>
          <w:lang w:val="en-US" w:eastAsia="zh-CN"/>
        </w:rPr>
        <w:t>/</w:t>
      </w:r>
      <w:r>
        <w:rPr>
          <w:rFonts w:hint="eastAsia" w:ascii="宋体" w:hAnsi="宋体"/>
          <w:color w:val="0000FF"/>
          <w:sz w:val="24"/>
          <w:szCs w:val="24"/>
          <w:u w:val="single"/>
        </w:rPr>
        <w:t>%</w:t>
      </w:r>
      <w:r>
        <w:rPr>
          <w:rFonts w:hint="eastAsia" w:ascii="宋体" w:hAnsi="宋体"/>
          <w:color w:val="auto"/>
          <w:sz w:val="24"/>
          <w:szCs w:val="24"/>
          <w:highlight w:val="none"/>
          <w:lang w:val="en-US" w:eastAsia="zh-CN"/>
        </w:rPr>
        <w:t>价格扣除，用扣除后的价格参与评审。</w:t>
      </w:r>
    </w:p>
    <w:p w14:paraId="5A034AC2">
      <w:pPr>
        <w:adjustRightInd w:val="0"/>
        <w:spacing w:line="440" w:lineRule="exact"/>
        <w:ind w:firstLine="482" w:firstLineChars="200"/>
        <w:jc w:val="left"/>
        <w:textAlignment w:val="baseline"/>
        <w:rPr>
          <w:rFonts w:hint="eastAsia" w:ascii="宋体" w:hAnsi="宋体"/>
          <w:b/>
          <w:sz w:val="24"/>
          <w:szCs w:val="24"/>
        </w:rPr>
      </w:pPr>
      <w:r>
        <w:rPr>
          <w:rFonts w:hint="eastAsia" w:ascii="宋体" w:hAnsi="宋体"/>
          <w:b/>
          <w:sz w:val="24"/>
          <w:szCs w:val="24"/>
        </w:rPr>
        <w:t>评审方法与评审标准</w:t>
      </w:r>
    </w:p>
    <w:p w14:paraId="4BDDADC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1、评审及中标</w:t>
      </w:r>
    </w:p>
    <w:p w14:paraId="39D3C12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本项目采用综合评分法。评委会仅对确定为实质上响应采购文件要求的响应文件进行评价和比较。综合评分法，是指响应文件满足采购文件全部实质性要求,且按照评审因素的量化指标评审得分最高的供应商为中标候选人的评标方法。</w:t>
      </w:r>
    </w:p>
    <w:p w14:paraId="296E342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评委会将依据下列评标标准进行评标，本评标标准的总分为100分。按评审后得分由高到低顺序排列。得分相同的，由评标委员会根据服务方案的优劣确定一个中标候选人。响应文件满足采购文件全部实质性要求，且按照评审因素的量化指标评审得分最高的供应商为排名第一的中标候选人。</w:t>
      </w:r>
    </w:p>
    <w:p w14:paraId="5B7EF58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1.3评分计算办法：评分计算得分均保留两位小数，评标项目每项最高得分均不得超过该项设定的总分值，最低分为0分。</w:t>
      </w:r>
    </w:p>
    <w:p w14:paraId="2CD386C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1.4综合评分法评价的主要内容有：投标报价、服务方案等。</w:t>
      </w:r>
    </w:p>
    <w:p w14:paraId="3264CFB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1.5综合评分各因素所占权重为：</w:t>
      </w:r>
    </w:p>
    <w:p w14:paraId="1F37679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1.5.1报价评价                         20%  </w:t>
      </w:r>
    </w:p>
    <w:p w14:paraId="1159DF5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1.5.2服务方案评价                     80%  </w:t>
      </w:r>
    </w:p>
    <w:p w14:paraId="7A815DCE">
      <w:pPr>
        <w:spacing w:line="440" w:lineRule="exact"/>
        <w:ind w:firstLine="539"/>
        <w:rPr>
          <w:rFonts w:hint="eastAsia"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1.6评分办法</w:t>
      </w:r>
    </w:p>
    <w:p w14:paraId="42904C4E">
      <w:pPr>
        <w:spacing w:line="440" w:lineRule="exact"/>
        <w:ind w:firstLine="539"/>
        <w:rPr>
          <w:rFonts w:hint="eastAsia"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1.6.1报价评价（20分）</w:t>
      </w:r>
    </w:p>
    <w:p w14:paraId="4B34ED13">
      <w:pPr>
        <w:spacing w:line="440" w:lineRule="exact"/>
        <w:ind w:firstLine="539"/>
        <w:rPr>
          <w:rFonts w:hint="eastAsia"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综合评分法中的价格分采用低价优先法计算，即满足采购文件要求且投标价格最低的投标报价为评标基准价，其价格分为满分20分。其他供应商的价格分统一按照下列公式计算：</w:t>
      </w:r>
    </w:p>
    <w:p w14:paraId="0C223E79">
      <w:pPr>
        <w:spacing w:line="440" w:lineRule="exact"/>
        <w:ind w:firstLine="539"/>
        <w:rPr>
          <w:rFonts w:hint="default"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投标报价得分=(评标基准价／投标报价)×20</w:t>
      </w:r>
    </w:p>
    <w:p w14:paraId="4F5C3B6D">
      <w:pPr>
        <w:spacing w:line="440" w:lineRule="exact"/>
        <w:ind w:firstLine="539"/>
        <w:rPr>
          <w:rFonts w:hint="eastAsia"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1.6.2服务方案评价（80分）</w:t>
      </w:r>
    </w:p>
    <w:p w14:paraId="3BCB277D">
      <w:pPr>
        <w:spacing w:line="440" w:lineRule="exact"/>
        <w:ind w:firstLine="539"/>
        <w:rPr>
          <w:rFonts w:hint="eastAsia"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（1）项目服务分析方案（12分）</w:t>
      </w:r>
    </w:p>
    <w:p w14:paraId="3432EA5F">
      <w:pPr>
        <w:spacing w:line="440" w:lineRule="exact"/>
        <w:ind w:firstLine="539"/>
        <w:rPr>
          <w:rFonts w:hint="default"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评标委员会根据响应文件中提供的项目服务分析方案，对项目服务定位和目标及作业范围和现场作业的难点、重点等描述与分析是否全面、清晰、准确综合评定。其中描述特别详细，方案全面、清晰、准确的得12分；稍有欠缺的得8分；概述方案过于简单的得4分；本项最高得12分。未提供不得分。</w:t>
      </w:r>
    </w:p>
    <w:p w14:paraId="4974EF63">
      <w:pPr>
        <w:spacing w:line="440" w:lineRule="exact"/>
        <w:ind w:firstLine="539"/>
        <w:rPr>
          <w:rFonts w:hint="eastAsia"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（2）环卫机械化作业管理方案（12分）</w:t>
      </w:r>
    </w:p>
    <w:p w14:paraId="200A96DA">
      <w:pPr>
        <w:spacing w:line="440" w:lineRule="exact"/>
        <w:ind w:firstLine="539"/>
        <w:rPr>
          <w:rFonts w:hint="default"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评标委员会根据响应文件中提供的道路人工保洁清扫作业方案，方案内容中包含不限于机械化设备配备清单、机械化设备作业方案、机械化车辆、作业时间表、机械化设备管理制度、机械化作业人员管理制度、机械化作业人员岗位职责、设备保养等内容。其中概述特别详细，总体安排科学，方案考虑周全，有合理化建议，得12分；概述一般详细，总体安排可行，方案考虑一般能基本满足项目实施需要的，得8分；概述方案过于简单，对于项目实施、部署不周全的得4分；本项最高得12分。未提供不得分。</w:t>
      </w:r>
    </w:p>
    <w:p w14:paraId="0AB827D9">
      <w:pPr>
        <w:spacing w:line="440" w:lineRule="exact"/>
        <w:ind w:firstLine="539"/>
        <w:rPr>
          <w:rFonts w:hint="eastAsia"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（3）作业人员配备方案（12分）</w:t>
      </w:r>
    </w:p>
    <w:p w14:paraId="751584D2">
      <w:pPr>
        <w:spacing w:line="440" w:lineRule="exact"/>
        <w:ind w:firstLine="539"/>
        <w:rPr>
          <w:rFonts w:hint="default"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评标委员会根据响应文件中提供的作业人员配置方案，结合本项目作业量清单，参考《项目经理履历表》、《本项目拟投入人员配置一览表》等，方案内容中包含不限于:项目组成员清单、人工作业方案、作业人员配置、内部管理方案等内容。其中概述特别详细，总体安排科学，方案考虑周全，作业计划、排班详细、人员培训、人员管理等可行性高的得12分；稍有欠缺的得8分；概述方案过于简单的得4分；本项最高得12分。未提供不得分。</w:t>
      </w:r>
    </w:p>
    <w:p w14:paraId="01AF2630">
      <w:pPr>
        <w:spacing w:line="440" w:lineRule="exact"/>
        <w:ind w:firstLine="539"/>
        <w:rPr>
          <w:rFonts w:hint="eastAsia"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（4）安全、文明作业管理实施方案及保障措施（12分）</w:t>
      </w:r>
    </w:p>
    <w:p w14:paraId="20FD42E8">
      <w:pPr>
        <w:spacing w:line="440" w:lineRule="exact"/>
        <w:ind w:firstLine="539"/>
        <w:rPr>
          <w:rFonts w:hint="default"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评标委员会根据响应文件中提供的安全作业方案，方案中包括安全制度、安全措施、事故预防及处置措施、安全培训、安全检查及记录要求等内容。其中概述特别详细，总体安排科学，方案考虑周全，有合理化建议的得12分；概述一般，总体安排可行，方案考虑一般能基本满足项目实施需要的得8分；概述方案过于简单，对于项目实施、部署不周全的得4分；本项最高得12分。未提供不得分。</w:t>
      </w:r>
    </w:p>
    <w:p w14:paraId="28D76947">
      <w:pPr>
        <w:spacing w:line="440" w:lineRule="exact"/>
        <w:ind w:firstLine="539"/>
        <w:rPr>
          <w:rFonts w:hint="eastAsia"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（5）重大活动及及应急抢险、突击保障方案（12分）</w:t>
      </w:r>
    </w:p>
    <w:p w14:paraId="6FAE8113">
      <w:pPr>
        <w:spacing w:line="440" w:lineRule="exact"/>
        <w:ind w:firstLine="539"/>
        <w:rPr>
          <w:rFonts w:hint="default"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评标委员会根据响应文件中提供的应急抢险、突击保障方案，方案内容中提供包含不限于《重大接待任务，重大节假日或活动保障应急预案》、《特殊季节性保洁应急预案》、《道路大面积污染应急预案》、《融雪除冰应急预案》 、《台风暴雨等恶劣天气应急预案》等。其中概述特别详细，总体安排科学，方案考虑周全，有合理化建议，得12分；概述一般，总体安排可行，方案考虑一般,能基本满足项目实施需要的，得8分；概述方案过于简单，对于项目实施、部署不周全的得4分；本项最高得12分。未提供不得分。</w:t>
      </w:r>
    </w:p>
    <w:p w14:paraId="68C0B3C4">
      <w:pPr>
        <w:spacing w:line="440" w:lineRule="exact"/>
        <w:ind w:firstLine="539"/>
        <w:rPr>
          <w:rFonts w:hint="eastAsia"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（6）垃圾清运方案（10分）</w:t>
      </w:r>
    </w:p>
    <w:p w14:paraId="51B9DFE8">
      <w:pPr>
        <w:spacing w:line="440" w:lineRule="exact"/>
        <w:ind w:firstLine="539"/>
        <w:rPr>
          <w:rFonts w:hint="default"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根据响应文件中提供的垃圾清运方案。其中概述特别详细，总体安排科学，方案考虑周全，垃圾清运保障措施合理有效的得10分；概述一般详细，稍有欠缺的得6分;概述方案过于简单的得4分；本项最高得10分。未提供不得分。</w:t>
      </w:r>
    </w:p>
    <w:p w14:paraId="0BFE745F">
      <w:pPr>
        <w:spacing w:line="440" w:lineRule="exact"/>
        <w:ind w:firstLine="539"/>
        <w:rPr>
          <w:rFonts w:hint="eastAsia" w:ascii="宋体" w:hAnsi="宋体"/>
          <w:color w:val="0000FF"/>
          <w:sz w:val="24"/>
          <w:szCs w:val="24"/>
          <w:highlight w:val="none"/>
          <w:lang w:val="en-US" w:eastAsia="zh-CN"/>
        </w:rPr>
      </w:pPr>
      <w:r>
        <w:rPr>
          <w:rFonts w:hint="eastAsia" w:ascii="宋体" w:hAnsi="宋体"/>
          <w:color w:val="0000FF"/>
          <w:sz w:val="24"/>
          <w:szCs w:val="24"/>
          <w:highlight w:val="none"/>
          <w:lang w:val="en-US" w:eastAsia="zh-CN"/>
        </w:rPr>
        <w:t>（7）往期案例分析方案（10分）</w:t>
      </w:r>
    </w:p>
    <w:p w14:paraId="14DEA5D3">
      <w:pPr>
        <w:spacing w:line="440" w:lineRule="exact"/>
        <w:ind w:firstLine="539"/>
        <w:rPr>
          <w:rFonts w:hint="default" w:ascii="宋体" w:hAnsi="宋体"/>
          <w:color w:val="0000FF"/>
          <w:sz w:val="24"/>
          <w:szCs w:val="24"/>
          <w:highlight w:val="none"/>
          <w:lang w:val="en-US" w:eastAsia="zh-CN"/>
        </w:rPr>
      </w:pPr>
      <w:bookmarkStart w:id="257" w:name="_GoBack"/>
      <w:r>
        <w:rPr>
          <w:rFonts w:hint="eastAsia" w:ascii="宋体" w:hAnsi="宋体"/>
          <w:color w:val="0000FF"/>
          <w:sz w:val="24"/>
          <w:szCs w:val="24"/>
          <w:highlight w:val="none"/>
          <w:lang w:val="en-US" w:eastAsia="zh-CN"/>
        </w:rPr>
        <w:t>评标委员会根据响应文件中提供的承担过往期案例分析进行综合评价，对往期多个案例分析有针对性、分析详尽的，且有与本项目服务内容相关的、规模相当的证明材料支撑的得10分；仅对个别案例进行简单分析的得6分；往期未做过类似案例但针对本项目有经验分析的得4分；本项最高得10分。未提供不得分。</w:t>
      </w:r>
      <w:bookmarkEnd w:id="257"/>
    </w:p>
    <w:p w14:paraId="0A8FB7D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1.7相同品牌产品的处理原则</w:t>
      </w:r>
    </w:p>
    <w:p w14:paraId="34D50DF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1.7.1使用综合评分法的采购项目，提供相同品牌产品且通过资格审查、符合性审查的不同供应商参加同一合同项下投标的，按一家供应商计算，评审后得分最高的同品牌供应商获得中标人推荐资格；评审得分相同的，由采购人委托评标委员会按照服务能力优劣顺序确定一个供应商获得中标人推荐资格，其他同品牌供应商不作为中标候选人（本项目核心产品为扬中市西来桥镇垃圾收运市场化运作项目服务项目服务）。</w:t>
      </w:r>
    </w:p>
    <w:p w14:paraId="227099C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1.7.2非单一产品采购项目，采购人应当根据采购项目技术构成、产品价格比重等合理确定核心产品，并在采购文件中载明。多家供应商提供的核心产品品牌相同的，按上述两个条款规定处理。</w:t>
      </w:r>
    </w:p>
    <w:p w14:paraId="5EB35B5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2、开标及评标委员会组成 </w:t>
      </w:r>
    </w:p>
    <w:p w14:paraId="5C6C871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2.1本项目采用远程不见面交易模式，通过不见面交易系统及相应的配套硬件设备（摄像头、话筒、麦克风等）完成远程解密、开标现场异议及回复、开标唱标等交互环节。</w:t>
      </w:r>
    </w:p>
    <w:p w14:paraId="0803479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2.2评标委员会将由五人或五人以上单数的技术专家、经济专家等专家组成。</w:t>
      </w:r>
    </w:p>
    <w:p w14:paraId="4EBE1C5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2.3按照规定，同意撤回的响应文件将不予开封。</w:t>
      </w:r>
    </w:p>
    <w:p w14:paraId="58C48B5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3、供应商资格审查、符合性审查</w:t>
      </w:r>
    </w:p>
    <w:p w14:paraId="7167B66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3.1开标后，采购人将依法对供应商的资格进行审查。资格审查的内容如下：</w:t>
      </w:r>
    </w:p>
    <w:p w14:paraId="5F043D0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（1）具有独立承担民事责任的能力（提供法人或者其他组织的营业执照等证明文件）；</w:t>
      </w:r>
    </w:p>
    <w:p w14:paraId="6F50E96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（2）法定代表人/负责人授权委托书或法定代表人身份证明（原件）；</w:t>
      </w:r>
    </w:p>
    <w:p w14:paraId="03723D9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（3）具有良好的商业信誉和健全的财务会计制度</w:t>
      </w:r>
      <w:r>
        <w:rPr>
          <w:rFonts w:hint="eastAsia" w:ascii="宋体" w:hAnsi="宋体" w:eastAsia="宋体" w:cs="Times New Roman"/>
          <w:color w:val="auto"/>
          <w:sz w:val="24"/>
          <w:szCs w:val="24"/>
          <w:highlight w:val="none"/>
        </w:rPr>
        <w:t>【提供202</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年度财务报告（成立不满一年的提供至少一个月财务报告），或银行出具的资信证明，或财政部门认可的政府采购专业担保机构出具的投标担保函】</w:t>
      </w:r>
      <w:r>
        <w:rPr>
          <w:rFonts w:hint="eastAsia" w:ascii="宋体" w:hAnsi="宋体"/>
          <w:color w:val="auto"/>
          <w:sz w:val="24"/>
          <w:szCs w:val="24"/>
          <w:highlight w:val="none"/>
          <w:lang w:val="en-US" w:eastAsia="zh-CN"/>
        </w:rPr>
        <w:t>；事业单位提供上一年度财务报表）/资格承诺函；</w:t>
      </w:r>
    </w:p>
    <w:p w14:paraId="4B40F45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（4）具有履行合同所必需的设备和专业技术能力(投标响应单位相关信息一览表【见投标响应文件（格式）】）/资格承诺函；</w:t>
      </w:r>
    </w:p>
    <w:p w14:paraId="42AAE41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（5）提供参加本次政府采购活动前一年内，在经营活动中没有重大违法记录的承诺函（见投标响应承诺函第8条）/资格承诺函；</w:t>
      </w:r>
    </w:p>
    <w:p w14:paraId="303311D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（6）具有工商注册所在地相关部门提供的企业纳税的证明材料（参加本次政府采购活动前6个月内任一个月的缴税证明，事业单位请提供相关证明材料）/资格承诺函；</w:t>
      </w:r>
    </w:p>
    <w:p w14:paraId="5E10E7D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（7）具有工商注册所在地相关部门提供的社保缴费良好记录的证明材料（参加本次政府采购活动前6个月内任一个月的缴社会保险费证明）/资格承诺函；</w:t>
      </w:r>
    </w:p>
    <w:p w14:paraId="0C57E92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（8）信用查询结果。</w:t>
      </w:r>
    </w:p>
    <w:p w14:paraId="57B155B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3.2供应商符合性审查：评标委员会应当对响应文件进行符合性审查，审查内容主要是响应文件的有效性、完整性和对采购文件的响应程度，以确定是否满足采购文件的实质性要求。</w:t>
      </w:r>
    </w:p>
    <w:p w14:paraId="29EFA91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（1）响应文件有效性</w:t>
      </w:r>
    </w:p>
    <w:p w14:paraId="466D4BA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①响应文件签署、盖章（含投标函，开标一览表，法定代表人身份证明书和法人授权委托书）；</w:t>
      </w:r>
    </w:p>
    <w:p w14:paraId="7EA3A4C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②投标报价；</w:t>
      </w:r>
    </w:p>
    <w:p w14:paraId="58EA637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③无效投标情形的判定和处理；</w:t>
      </w:r>
    </w:p>
    <w:p w14:paraId="6AF7C01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④法律、法规和采购文件规定的其他资格证明材料。</w:t>
      </w:r>
    </w:p>
    <w:p w14:paraId="64D15EB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（2）响应文件完整性：响应文件内容完整性、齐全性；</w:t>
      </w:r>
    </w:p>
    <w:p w14:paraId="35E3D40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（3）对采购文件响应程度：审查响应文件与采购文件要求的主要条款、条件和技术规格是否相符，是否存在重大偏离或保留。</w:t>
      </w:r>
    </w:p>
    <w:p w14:paraId="094364C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审查响应文件与采购文件要求的主要条款、条件和技术规格是否相符，是否存在重大偏离或保留。所谓重大偏离或保留系指影响到采购文件规定的服务范围、质量和性能的，或者在实质上与采购文件不一致，有限制采购方权利和投标方义务的规定，而纠正这些偏离或保留将会对其他实质上响应采购文件的投标方的竞争地位产生不公正的影响（重大偏离或保留的认定须经评标委员会半数以上同意）。评标委员会决定响应文件的响应性只根据响应文件本身的内容，而不寻求外部的证据。</w:t>
      </w:r>
    </w:p>
    <w:p w14:paraId="4BD062D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3.3无效投标的情形，供应商存在下列情况之一的，其投标无效：</w:t>
      </w:r>
    </w:p>
    <w:p w14:paraId="6913A2D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（1）未按规定由供应商的法定代表人签字或盖章；或其授权委托代理人未按规定签字；或未加盖供应商公章的；或签字人未经法定代表人有效授权委托的；</w:t>
      </w:r>
    </w:p>
    <w:p w14:paraId="7E2F6CC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（2）单位负责人为同一人或者存在直接控股、管理关系的不同供应商参加同一合同项下的政府采购活动的；</w:t>
      </w:r>
    </w:p>
    <w:p w14:paraId="446137A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（3）不具备采购文件中规定的资格条件的；</w:t>
      </w:r>
    </w:p>
    <w:p w14:paraId="0BD2749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（4）“信用中国”网站（www.creditchina.gov.cn）、中国政府采购网（www.ccgp.gov.cn）查询结果为失信被执行人、重大税收违法案件当事人名单、政府采购严重违法失信行为的；</w:t>
      </w:r>
    </w:p>
    <w:p w14:paraId="64BEF97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（5）报价高于采购文件中最高限价的；</w:t>
      </w:r>
    </w:p>
    <w:p w14:paraId="27FF7DD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评标委员会认为供应商的报价明显低于其他通过符合性审查供应商的报价，有可能不能诚信履约的，要求供应商在评标现场合理的时间内提供书面说明，必要时提交相关证明材料，供应商不能证明其报价合理性的；</w:t>
      </w:r>
    </w:p>
    <w:p w14:paraId="36AC2D5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（7）报价超过采购文件中规定的预算的；</w:t>
      </w:r>
    </w:p>
    <w:p w14:paraId="7E6F5A2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评标委员会认为供应商的报价明显低于其他通过符合性审查供应商的报价，有可能不能诚信履约的，要求供应商在评标现场合理的时间内提供书面说明，必要时提交相关证明材料，供应商不能证明其报价合理性的；</w:t>
      </w:r>
    </w:p>
    <w:p w14:paraId="404A18F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（9）人员数量不满足各工种最低数量要求的；</w:t>
      </w:r>
    </w:p>
    <w:p w14:paraId="3944A5E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（10）车辆数量、配置不满足采购文件最低要求的；</w:t>
      </w:r>
    </w:p>
    <w:p w14:paraId="38E073D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（11）供应商提交的是可选择报价的；</w:t>
      </w:r>
    </w:p>
    <w:p w14:paraId="27F62BF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（12）响应文件中提供了虚假或失实资料的；</w:t>
      </w:r>
    </w:p>
    <w:p w14:paraId="12EE865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（13）不同供应商的响应文件出现了评委会认为不应当雷同的；</w:t>
      </w:r>
    </w:p>
    <w:p w14:paraId="20738E5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（14）响应文件含有采购人不能接受的附加条件的;</w:t>
      </w:r>
    </w:p>
    <w:p w14:paraId="41609D4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（15）供应商存在串通投标情形的；</w:t>
      </w:r>
    </w:p>
    <w:p w14:paraId="460AA7C7">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（16）未按采购文件要求递交投标响应文件的；</w:t>
      </w:r>
    </w:p>
    <w:p w14:paraId="1423DBE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（17）不符合法律、法规和采购文件规定的其它实质性条款（须经评标委员会半数以上同意）。</w:t>
      </w:r>
    </w:p>
    <w:p w14:paraId="542330B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3.4对供应商未通过资格性审查、符合性审查的原因，采购人将在现场告知，并以书面方式请未通过供应商给予确认。</w:t>
      </w:r>
    </w:p>
    <w:p w14:paraId="4F64443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3.5响应文件报价出现前后不一致的，按照下列规定修正：</w:t>
      </w:r>
    </w:p>
    <w:p w14:paraId="7514A3E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（1）响应文件中开标一览表（报价表）内容与响应文件中相应内容不一致的，以开标一览表（报价表）为准；</w:t>
      </w:r>
    </w:p>
    <w:p w14:paraId="0FAA0BD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（2）大写金额和小写金额不一致的，以大写金额为准；</w:t>
      </w:r>
    </w:p>
    <w:p w14:paraId="0EDA31E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（3）单价金额小数点或者百分比有明显错位的，以开标一览表的总价为准，并修改单价；</w:t>
      </w:r>
    </w:p>
    <w:p w14:paraId="49F627D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（4）总价金额与按单价汇总金额不一致的，以单价金额计算结果为准。</w:t>
      </w:r>
    </w:p>
    <w:p w14:paraId="3CC9162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同时出现两种以上不一致的，按照上述规定的顺序修正。修正后的报价经供应商法定代表人或其授权委托代理人签字确认后产生约束力，供应商不确认的，其投标无效。</w:t>
      </w:r>
    </w:p>
    <w:p w14:paraId="7AF0FB6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3.6评标委员会将按上述修正错误的方法修正响应文件中的投标响应报价，修正后的价格应对供应商具有约束力。如果供应商不接受修正后的价格，则其投标响应将被拒绝。</w:t>
      </w:r>
    </w:p>
    <w:p w14:paraId="1BD3EFD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3.7评标委员会将允许修改响应文件中不构成重大偏离的、微小的、非正规的、不一致的或不规则的地方，但这些修改不能影响任何供应商相应的名次排列。</w:t>
      </w:r>
    </w:p>
    <w:p w14:paraId="6E8DA55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4、响应文件的澄清</w:t>
      </w:r>
    </w:p>
    <w:p w14:paraId="3993140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4.1在评标期间，为有助于对响应文件的审查、评价和比较，评委会有权要求供应商对其响应文件中含义不明确、同类问题表述不一致或者有明显文字和计算错误的内容进行澄清。但并非对每个供应商都作澄清要求。</w:t>
      </w:r>
    </w:p>
    <w:p w14:paraId="141BE2B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4.2接到评委会澄清要求的供应商应派人按评委会通知的时间和地点做出书面澄清，书面澄清的内容必须由供应商法定代表人或委托受托人签署，并作为响应文件的补充部分，但投标的价格和实质性的内容不得做任何更改。</w:t>
      </w:r>
    </w:p>
    <w:p w14:paraId="368CAEA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4.3接到评委会澄清要求的供应商如未按第14.2条的规定做出澄清，将视为放弃该权利。</w:t>
      </w:r>
    </w:p>
    <w:p w14:paraId="2AD4477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5、投标语言及度量衡单位</w:t>
      </w:r>
    </w:p>
    <w:p w14:paraId="3F1485D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5.1供应商的响应文件以及供应商就有关投标的所有来往函电均应使用中文。</w:t>
      </w:r>
    </w:p>
    <w:p w14:paraId="7ABE16C7">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5.2响应文件中所使用的计量单位除采购文件中有特殊规定外，一律使用法定计量单位。</w:t>
      </w:r>
    </w:p>
    <w:p w14:paraId="31D5B45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6、投标报价部分</w:t>
      </w:r>
    </w:p>
    <w:p w14:paraId="02D3A06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6.1供应商按投标响应报价表格式和内容填写，主要填报本项目的总报价和明细报价。</w:t>
      </w:r>
    </w:p>
    <w:p w14:paraId="6222E6D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6.2以人民币报价，供应商应报本项目每年费用和总费用，同时应提供报价明细表。</w:t>
      </w:r>
    </w:p>
    <w:p w14:paraId="112C30A0">
      <w:pPr>
        <w:spacing w:line="440" w:lineRule="exact"/>
        <w:ind w:firstLine="539"/>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6.3供应商应报出最具有竞争力的价格，项目总报价中包括但不限于：人员工资（含社会保险费、福利费、劳保用品费用等）、设备设施费、工作服费、保洁工具费、保洁材料费（消毒药水、清洗剂、涂料等）、管理费(含工作人员意外保险费、事故处理等)、教育及工会计提、税金、利润等一切费用。</w:t>
      </w:r>
    </w:p>
    <w:p w14:paraId="106B840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6.4本项目采购预算为人民币</w:t>
      </w:r>
      <w:r>
        <w:rPr>
          <w:rFonts w:hint="eastAsia" w:ascii="宋体" w:hAnsi="宋体" w:cs="Times New Roman"/>
          <w:b/>
          <w:bCs/>
          <w:sz w:val="24"/>
          <w:szCs w:val="24"/>
          <w:highlight w:val="yellow"/>
          <w:lang w:val="en-US" w:eastAsia="zh-CN" w:bidi="ar-SA"/>
        </w:rPr>
        <w:t>278</w:t>
      </w:r>
      <w:r>
        <w:rPr>
          <w:rFonts w:hint="eastAsia" w:ascii="宋体" w:hAnsi="宋体" w:eastAsia="宋体" w:cs="Times New Roman"/>
          <w:b/>
          <w:bCs/>
          <w:sz w:val="24"/>
          <w:szCs w:val="24"/>
          <w:highlight w:val="yellow"/>
          <w:lang w:val="en-US" w:eastAsia="zh-CN" w:bidi="ar-SA"/>
        </w:rPr>
        <w:t>万元</w:t>
      </w:r>
      <w:r>
        <w:rPr>
          <w:rFonts w:hint="eastAsia" w:ascii="宋体" w:hAnsi="宋体"/>
          <w:color w:val="auto"/>
          <w:sz w:val="24"/>
          <w:szCs w:val="24"/>
          <w:highlight w:val="none"/>
          <w:lang w:val="en-US" w:eastAsia="zh-CN"/>
        </w:rPr>
        <w:t>，报价高于预算价将视为无效响应。</w:t>
      </w:r>
    </w:p>
    <w:p w14:paraId="14F3358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6.5供应商应按本采购文件的要求格式编制响应文件。</w:t>
      </w:r>
    </w:p>
    <w:p w14:paraId="0FAA8B0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7、评标过程的保密</w:t>
      </w:r>
    </w:p>
    <w:p w14:paraId="1A73BDE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7.1在宣布中标结果之前，凡属于审查、澄清、评价、比较响应文件和中标意向等有关信息，相关当事人均不得泄露给任何供应商或与评审工作无关的人员。</w:t>
      </w:r>
    </w:p>
    <w:p w14:paraId="26651E7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7.2供应商不得探听上述信息，不得以任何行为影响评标过程，否则其响应文件将被作无效处理。 </w:t>
      </w:r>
    </w:p>
    <w:p w14:paraId="610407B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7.3在评审期间，代理机构将有专门人员与供应商进行联络。 </w:t>
      </w:r>
    </w:p>
    <w:p w14:paraId="42FF299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7.4代理机构和评审委员会不向未中标的供应商解释未中标原因，也不公布评审过程中的相关细节。</w:t>
      </w:r>
    </w:p>
    <w:p w14:paraId="680492D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7.5评标委员会名单在开标前确定，并在招标结果确定前保密。</w:t>
      </w:r>
    </w:p>
    <w:p w14:paraId="4139F9D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8、废标的确认</w:t>
      </w:r>
    </w:p>
    <w:p w14:paraId="18358B5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8.1在评标过程中出现下列情况之一的应予废标：</w:t>
      </w:r>
    </w:p>
    <w:p w14:paraId="0600EC8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8.1.1出现影响公正的违法、违规行为的；</w:t>
      </w:r>
    </w:p>
    <w:p w14:paraId="5B22C52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8.1.2标段现场实质性响应采购文件的供应商不足三家；</w:t>
      </w:r>
    </w:p>
    <w:p w14:paraId="241E366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8.1.3因重大变故采购任务取消的；</w:t>
      </w:r>
    </w:p>
    <w:p w14:paraId="30DC98B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废标后，采购人将废标理由通知所有供应商。</w:t>
      </w:r>
    </w:p>
    <w:p w14:paraId="7FB97B9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9、变更采购方式或重新招标</w:t>
      </w:r>
    </w:p>
    <w:p w14:paraId="32E9A09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9.1开标现场及评标期间出现供应商，或实质性响应采购文件的供应商不足三家的处理办法：代理机构报经政府采购监管部门批准，可以变更采购方式或重新采购。</w:t>
      </w:r>
    </w:p>
    <w:p w14:paraId="3A1556C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10、确定中标单位</w:t>
      </w:r>
    </w:p>
    <w:p w14:paraId="4AE67C6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10.1评标委员会将根据采购文件规定的评标方法采取综合评分法，按得分高低推荐3名中标候选人。</w:t>
      </w:r>
    </w:p>
    <w:p w14:paraId="76F58CC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10.2项目采购领导小组，根据评标委员会推荐的中标候选人顺序，遵循公开透明、公平竞争、公正和诚实信用原则，最终确定排名第一的为中标人。</w:t>
      </w:r>
    </w:p>
    <w:p w14:paraId="77D28BE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10.3中标人确定后，中标结果将在“江苏政府采购网、扬中政府采购网”进行公示，公示时间为1个工作日。</w:t>
      </w:r>
    </w:p>
    <w:p w14:paraId="0269345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10.4若有充分证据证明，中标人出现下列情况之一的，一经查实，将被取消中标资格：</w:t>
      </w:r>
    </w:p>
    <w:p w14:paraId="3C81694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（1）提供虚假材料谋取中标的；</w:t>
      </w:r>
    </w:p>
    <w:p w14:paraId="2A8D46A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（2）与评审专家、采购人、其他供应商或者代理机构工作人员恶意串通的；</w:t>
      </w:r>
    </w:p>
    <w:p w14:paraId="75436034">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（3）向评审专家、采购人或代理机构工作人员行贿或者提供其他不正当利益的；</w:t>
      </w:r>
    </w:p>
    <w:p w14:paraId="2BCC689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（4）不满足本采购文件规定的实质性要求，但在评标过程中又未被评委会发现的；</w:t>
      </w:r>
    </w:p>
    <w:p w14:paraId="596C827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（5）不符合法律、法规的规定的其他情形。</w:t>
      </w:r>
    </w:p>
    <w:p w14:paraId="34107D7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在此情况下一经认定，报经项目采购领导小组批准，可授予下一中标候选人中标资格，或重新招标。</w:t>
      </w:r>
    </w:p>
    <w:p w14:paraId="7B48A7C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11、中标决定和中标通知书</w:t>
      </w:r>
    </w:p>
    <w:p w14:paraId="5D935DE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11.1采购人或者采购代理机构应当在中标供应商确定后2个工作日内，在省级以上财政部门指定的政府采购信息发布媒体上公告中标结果，同时向中标供应商发出中标通知书，并将采购文件随中标结果同时公告。</w:t>
      </w:r>
    </w:p>
    <w:p w14:paraId="7909F997">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11.2中标通知书将是合同的一个组成部分。</w:t>
      </w:r>
    </w:p>
    <w:p w14:paraId="64F30DE7">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11.3中标后，任何一方均不得对其响应文件中中标价等实质性条款作出任何改变。</w:t>
      </w:r>
    </w:p>
    <w:p w14:paraId="01326B1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12、合同授予标准</w:t>
      </w:r>
    </w:p>
    <w:p w14:paraId="06FC082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12.1评标委员会将根据采购文件规定的评标方法采取综合评分法，按得分高低推荐3名中标候选人。</w:t>
      </w:r>
    </w:p>
    <w:p w14:paraId="5B97DD7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12.2项目采购领导小组，根据评标委员会推荐的中标候选人顺序，遵循公开透明、公平竞争、公正和诚实信用原则，确定1名中标人。</w:t>
      </w:r>
    </w:p>
    <w:p w14:paraId="369B6E5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12.3如发现供应商在投标响应文件中有弄虚作假行为或其它不正当竞争行为的，将取消其中标资格。</w:t>
      </w:r>
    </w:p>
    <w:p w14:paraId="1C637CF1">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13、签订合同及相关费用</w:t>
      </w:r>
    </w:p>
    <w:p w14:paraId="6CF3F4D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13.1合同签订时间：采购人应当自中标通知书发出之日起15日内，按照采购文件和中标人响应文件的规定，与中标人签订书面合同。</w:t>
      </w:r>
    </w:p>
    <w:p w14:paraId="56509437">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13.3采购文件、中标人的投标响应文件、补充文件、答辩记录等，均为签订合同的依据和合同不可分割的组成部分。</w:t>
      </w:r>
    </w:p>
    <w:p w14:paraId="143E58A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13.4中标人如果不按规定签订合同，代理机构将取消该中标结果。在此情况下项目采购领导小组可授予下一中标候选人，或重新招标。</w:t>
      </w:r>
    </w:p>
    <w:p w14:paraId="1932966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13.5合同具体条款见合同样本，合同的各项条款是采购文件的组成部分。</w:t>
      </w:r>
    </w:p>
    <w:p w14:paraId="10EE948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13.6代理机构自政府采购合同签订之日起2个工作日内，将合同在扬中政府采购网、江苏政府采购网上公告。</w:t>
      </w:r>
    </w:p>
    <w:p w14:paraId="07CCF46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14、货物和服务的追加、减少和添购</w:t>
      </w:r>
    </w:p>
    <w:p w14:paraId="1F9A9F8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14.1政府采购合同履行中，需追加与合同标的相同服务的，在不改变价格水平、合同及其他条款的前提下，可以与中标人协商签订补充合同，但所有补充合同的采购金额不得超过原合同采购金额的百分之十。</w:t>
      </w:r>
    </w:p>
    <w:p w14:paraId="7315F12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14.2采购结束后，采购人若由于各种客观原因，必须对采购项目所牵涉的服务进行适当的减少时，在双方协商一致的前提下，可以按照招标采购时的价格水平做相应的调减，并据此签订补充合同。</w:t>
      </w:r>
    </w:p>
    <w:p w14:paraId="51C75F8C">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14.3项目结束后，采购人若由于各种客观原因，必须对采购项目所牵涉的服务进行适当的添购时，由于须保证原有采购项目一致性或者服务配套的要求，且添购资金总额不超过原合同采购金额的百分之十，经政府采购监督管理部门批准，可以继续从中标人处按照单一来源采购的方式进行添购，且所牵涉服务的价格水平不得超过本次公开招标的水平且低于当时的社会平均价。服务的添购，应在本次政府采购合同的基础上，另行签订服务的添购合同。</w:t>
      </w:r>
    </w:p>
    <w:p w14:paraId="4839A9E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24、询问</w:t>
      </w:r>
    </w:p>
    <w:p w14:paraId="6A71113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24.1供应商对采购活动事项有疑问的，可以向采购人或采购代理机构提出询问，采购人或采购代理机构将依法作出答复，但答复的内容不涉及商业秘密。</w:t>
      </w:r>
    </w:p>
    <w:p w14:paraId="39560BF2">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25、质疑</w:t>
      </w:r>
    </w:p>
    <w:p w14:paraId="287B996F">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25.1质疑供应商是指直接参加本项目采购活动的供应商；供应商认为采购文件、招标过程和中标结果使自己的合法权益受到损害的，可以在知道或者应当知道其权益受到损害之日起七个工作日内，将质疑文件原件送达采购人或采购代理机构。对采购文件提出质疑的，自供应商获得采购文件之日起计算；对招标过程提出质疑的，自招标程序环节结束之日起计算；对中标结果提出质疑的，自中标结果公告届满之日起计算。</w:t>
      </w:r>
    </w:p>
    <w:p w14:paraId="599381D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25.2供应商应按照“谁主张、谁举证”的原则对质疑内容提供相关证明材料，并对质疑内容的真实性承担责任。供应商不得虚假质疑和恶意质疑，如通过捏造事实、伪造证明材料等方式提出质疑，阻碍采购活动正常进行的，属于严重不良行为，代理机构将提请财政部门将其列入不良行为记录名单，并依法予以处罚。</w:t>
      </w:r>
    </w:p>
    <w:p w14:paraId="4A6C7B4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25.3供应商应当在法定质疑期内一次性提出针对同一采购程序 </w:t>
      </w:r>
    </w:p>
    <w:p w14:paraId="53689C9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环节的质疑。供应商如在法定期限内对同一采购程序环节提出多次质 疑的，招标组织方将只对供应商第一次质疑作出答复。供应商如对采购需求提出质疑，除向招标组织方提交质疑文件外，还应当向采购人提交质疑文件，采购人负责处理和答复涉及采购需求的质疑内容。</w:t>
      </w:r>
    </w:p>
    <w:p w14:paraId="5176E073">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25.4质疑流程及注意事项见“镇江市公共资源交易服务平台—政府采购”网站下载中心。</w:t>
      </w:r>
    </w:p>
    <w:p w14:paraId="48E23CCB">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25.5采购人或采购代理机构在收到供应商的书面质疑后将及时组织调查核实，在七个工作日内作出答复，并以书面或在网站公告形式通知质疑供应商和其他有关供应商，答复的内容不涉及商业秘密。</w:t>
      </w:r>
    </w:p>
    <w:p w14:paraId="0EF72D4E">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26、投诉</w:t>
      </w:r>
    </w:p>
    <w:p w14:paraId="05FD52C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26.1质疑供应商对采购人或代理机构的答复不满意，以及采购人或代理机构未在规定的时间内作出答复的，可以在答复期满后十五个工作日内向采购项目同级财政部门投诉。</w:t>
      </w:r>
    </w:p>
    <w:p w14:paraId="6B1CDB76">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26.2质疑供应商对采购人或代理机构的答复不满意，以及采购人或代理机构未在规定的时间内作出答复的，可以在答复期满后十五个工作日内向采购项目同级财政部门投诉，具体流程详见“扬中政府采购”--http://www.yzzfcg.cn/--首页“办事指南”--政府采购投诉处理流程说明。</w:t>
      </w:r>
    </w:p>
    <w:p w14:paraId="0DB7C34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26.3投诉事项联系方式</w:t>
      </w:r>
    </w:p>
    <w:p w14:paraId="6B260A6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联系人：扬中市财政局政府采购管理科</w:t>
      </w:r>
    </w:p>
    <w:p w14:paraId="2BD72877">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联系电话：0511-88299029</w:t>
      </w:r>
    </w:p>
    <w:p w14:paraId="44F66937">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联系地址：建设西路369号</w:t>
      </w:r>
      <w:bookmarkStart w:id="208" w:name="_Toc28986"/>
      <w:bookmarkStart w:id="209" w:name="_Toc9940"/>
      <w:bookmarkStart w:id="210" w:name="_Toc14811"/>
      <w:bookmarkStart w:id="211" w:name="_Toc30709"/>
      <w:bookmarkStart w:id="212" w:name="_Toc1687"/>
      <w:bookmarkStart w:id="213" w:name="_Toc1540"/>
      <w:bookmarkStart w:id="214" w:name="_Toc7941"/>
      <w:bookmarkStart w:id="215" w:name="_Toc10124"/>
    </w:p>
    <w:bookmarkEnd w:id="208"/>
    <w:bookmarkEnd w:id="209"/>
    <w:bookmarkEnd w:id="210"/>
    <w:bookmarkEnd w:id="211"/>
    <w:bookmarkEnd w:id="212"/>
    <w:bookmarkEnd w:id="213"/>
    <w:bookmarkEnd w:id="214"/>
    <w:bookmarkEnd w:id="215"/>
    <w:p w14:paraId="40E17385">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27、诚实信用</w:t>
      </w:r>
    </w:p>
    <w:p w14:paraId="40B01318">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27.1供应商之间不得相互串通投标报价，不得妨碍其他供应商的公平竞争，不得损害采购人和其他供应商的合法权益。</w:t>
      </w:r>
    </w:p>
    <w:p w14:paraId="6CC59F9A">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27.2供应商不得以向代理机构工作人员、评标委员会成员行贿或者采取其他不正当手段谋取中标。经查实供应商有此行为的，将在“江苏政府采购网、扬中政府采购网”公告，政府采购管理部门将供应商列入不良行为记录名单，按照《政府采购法》有关规定处理。</w:t>
      </w:r>
    </w:p>
    <w:p w14:paraId="4ADACF0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27.3供应商不得虚假承诺，否则，按照提供虚假材料谋取中标成交处理。</w:t>
      </w:r>
    </w:p>
    <w:p w14:paraId="55F5675D">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27.4供应商应自觉遵守开标、评标纪律，扰乱开标评标现场秩序的，属于失信行为，根据《江苏省政府采购供应商监督管理暂行办法》，失信行为将被记入供应商诚信档案。</w:t>
      </w:r>
    </w:p>
    <w:p w14:paraId="61256F30">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27.5根据《财政部关于在政府采购活动中查询及使用信息记录有关问题的通知》（财库〔2016〕125号）、江苏省财政厅《关于做好政府采购信用信息查询使用及登记等工作的通知》（苏财购〔2016〕50号）等文件精神，评标委员会在项目评审时对参加本项目的各供应商进行信用记录查询，信用记录查询渠道为“信用中国”网站（</w:t>
      </w:r>
      <w:r>
        <w:rPr>
          <w:rFonts w:hint="eastAsia" w:ascii="宋体" w:hAnsi="宋体"/>
          <w:color w:val="auto"/>
          <w:sz w:val="24"/>
          <w:szCs w:val="24"/>
          <w:highlight w:val="none"/>
          <w:lang w:val="en-US" w:eastAsia="zh-CN"/>
        </w:rPr>
        <w:drawing>
          <wp:inline distT="0" distB="0" distL="0" distR="0">
            <wp:extent cx="190500" cy="142240"/>
            <wp:effectExtent l="0" t="0" r="0" b="10160"/>
            <wp:docPr id="4" name="图片 6"/>
            <wp:cNvGraphicFramePr/>
            <a:graphic xmlns:a="http://schemas.openxmlformats.org/drawingml/2006/main">
              <a:graphicData uri="http://schemas.openxmlformats.org/drawingml/2006/picture">
                <pic:pic xmlns:pic="http://schemas.openxmlformats.org/drawingml/2006/picture">
                  <pic:nvPicPr>
                    <pic:cNvPr id="4" name="图片 6"/>
                    <pic:cNvPicPr/>
                  </pic:nvPicPr>
                  <pic:blipFill>
                    <a:blip r:embed="rId13"/>
                    <a:stretch>
                      <a:fillRect/>
                    </a:stretch>
                  </pic:blipFill>
                  <pic:spPr>
                    <a:xfrm>
                      <a:off x="0" y="0"/>
                      <a:ext cx="191004" cy="142240"/>
                    </a:xfrm>
                    <a:prstGeom prst="rect">
                      <a:avLst/>
                    </a:prstGeom>
                    <a:noFill/>
                    <a:ln>
                      <a:noFill/>
                    </a:ln>
                  </pic:spPr>
                </pic:pic>
              </a:graphicData>
            </a:graphic>
          </wp:inline>
        </w:drawing>
      </w:r>
      <w:r>
        <w:rPr>
          <w:rFonts w:hint="eastAsia" w:ascii="宋体" w:hAnsi="宋体"/>
          <w:color w:val="auto"/>
          <w:sz w:val="24"/>
          <w:szCs w:val="24"/>
          <w:highlight w:val="none"/>
          <w:lang w:val="en-US" w:eastAsia="zh-CN"/>
        </w:rPr>
        <w:t xml:space="preserve">www.creditchina.gov.cn），信用记录查询截止时间为资格审查结束时，信用信息查询记录及证据留存的具体方式为打印或网页截图。对存在失信信息的供应商（列入失信被执行人、重大税收违法案件当事人名单、政府采购严重违法失信行为记录名单及其他不符合《中华人民共和国政府采购法》第二十二条规定条件的供应商）应当拒绝其参与政府采购活动。 </w:t>
      </w:r>
    </w:p>
    <w:p w14:paraId="5DF9B279">
      <w:pPr>
        <w:spacing w:line="440" w:lineRule="exact"/>
        <w:ind w:firstLine="53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28、解释权</w:t>
      </w:r>
    </w:p>
    <w:p w14:paraId="4F56CA2B">
      <w:pPr>
        <w:spacing w:line="440" w:lineRule="exact"/>
        <w:ind w:firstLine="539"/>
        <w:rPr>
          <w:color w:val="auto"/>
        </w:rPr>
      </w:pPr>
      <w:r>
        <w:rPr>
          <w:rFonts w:hint="eastAsia" w:ascii="宋体" w:hAnsi="宋体"/>
          <w:color w:val="auto"/>
          <w:sz w:val="24"/>
          <w:szCs w:val="24"/>
          <w:highlight w:val="none"/>
          <w:lang w:val="en-US" w:eastAsia="zh-CN"/>
        </w:rPr>
        <w:t>28.1除相关法律、法规规定外，本采购文件的解释权归镇江晟科工程管理咨询有限公司所有。</w:t>
      </w:r>
    </w:p>
    <w:p w14:paraId="6542DF60">
      <w:pPr>
        <w:pStyle w:val="6"/>
        <w:rPr>
          <w:color w:val="auto"/>
        </w:rPr>
      </w:pPr>
    </w:p>
    <w:p w14:paraId="241DEE13">
      <w:pPr>
        <w:pStyle w:val="6"/>
        <w:rPr>
          <w:color w:val="auto"/>
        </w:rPr>
      </w:pPr>
    </w:p>
    <w:p w14:paraId="4164B74C">
      <w:pPr>
        <w:pStyle w:val="6"/>
        <w:rPr>
          <w:color w:val="auto"/>
        </w:rPr>
      </w:pPr>
    </w:p>
    <w:p w14:paraId="3E6AFA32">
      <w:pPr>
        <w:pStyle w:val="6"/>
        <w:rPr>
          <w:color w:val="auto"/>
        </w:rPr>
      </w:pPr>
    </w:p>
    <w:p w14:paraId="7D0EDCD4">
      <w:pPr>
        <w:pStyle w:val="6"/>
        <w:rPr>
          <w:color w:val="auto"/>
        </w:rPr>
      </w:pPr>
    </w:p>
    <w:bookmarkEnd w:id="195"/>
    <w:bookmarkEnd w:id="196"/>
    <w:bookmarkEnd w:id="197"/>
    <w:bookmarkEnd w:id="198"/>
    <w:bookmarkEnd w:id="199"/>
    <w:bookmarkEnd w:id="200"/>
    <w:bookmarkEnd w:id="201"/>
    <w:bookmarkEnd w:id="202"/>
    <w:bookmarkEnd w:id="203"/>
    <w:bookmarkEnd w:id="204"/>
    <w:p w14:paraId="0896D2B2">
      <w:pPr>
        <w:keepNext/>
        <w:jc w:val="center"/>
        <w:outlineLvl w:val="0"/>
        <w:rPr>
          <w:rFonts w:hint="eastAsia" w:ascii="黑体" w:eastAsia="黑体"/>
          <w:bCs/>
          <w:sz w:val="32"/>
          <w:szCs w:val="32"/>
        </w:rPr>
      </w:pPr>
      <w:r>
        <w:rPr>
          <w:rFonts w:hint="eastAsia" w:ascii="黑体" w:eastAsia="黑体"/>
          <w:bCs/>
          <w:sz w:val="32"/>
          <w:szCs w:val="32"/>
        </w:rPr>
        <w:t xml:space="preserve">第六章  响应文件格式 </w:t>
      </w:r>
    </w:p>
    <w:p w14:paraId="42761876">
      <w:pPr>
        <w:jc w:val="both"/>
        <w:rPr>
          <w:rFonts w:hint="eastAsia" w:ascii="宋体" w:hAnsi="宋体"/>
          <w:b/>
          <w:sz w:val="24"/>
          <w:szCs w:val="24"/>
        </w:rPr>
      </w:pPr>
      <w:bookmarkStart w:id="216" w:name="_Hlt26671244"/>
      <w:bookmarkEnd w:id="216"/>
      <w:bookmarkStart w:id="217" w:name="_Hlt26955039"/>
      <w:bookmarkEnd w:id="217"/>
    </w:p>
    <w:p w14:paraId="11B7BE7D">
      <w:pPr>
        <w:jc w:val="center"/>
        <w:rPr>
          <w:rFonts w:hint="eastAsia" w:ascii="宋体" w:hAnsi="宋体"/>
          <w:b/>
          <w:sz w:val="72"/>
          <w:szCs w:val="72"/>
        </w:rPr>
      </w:pPr>
    </w:p>
    <w:p w14:paraId="468BCE0D">
      <w:pPr>
        <w:jc w:val="center"/>
        <w:rPr>
          <w:rFonts w:hint="eastAsia" w:ascii="宋体" w:hAnsi="宋体"/>
          <w:b/>
          <w:sz w:val="72"/>
          <w:szCs w:val="72"/>
        </w:rPr>
      </w:pPr>
    </w:p>
    <w:p w14:paraId="77C7D3F0">
      <w:pPr>
        <w:jc w:val="center"/>
        <w:rPr>
          <w:rFonts w:hint="eastAsia" w:ascii="宋体" w:hAnsi="宋体"/>
          <w:b/>
          <w:sz w:val="72"/>
          <w:szCs w:val="72"/>
        </w:rPr>
      </w:pPr>
      <w:r>
        <w:rPr>
          <w:rFonts w:hint="eastAsia" w:ascii="宋体" w:hAnsi="宋体"/>
          <w:b/>
          <w:sz w:val="72"/>
          <w:szCs w:val="72"/>
        </w:rPr>
        <w:t>响  应  文  件</w:t>
      </w:r>
    </w:p>
    <w:p w14:paraId="593EA68F">
      <w:pPr>
        <w:jc w:val="center"/>
        <w:rPr>
          <w:rFonts w:hint="eastAsia" w:ascii="宋体" w:hAnsi="宋体"/>
          <w:b/>
          <w:sz w:val="32"/>
          <w:szCs w:val="32"/>
        </w:rPr>
      </w:pPr>
    </w:p>
    <w:p w14:paraId="7CACBEE6">
      <w:pPr>
        <w:jc w:val="center"/>
        <w:rPr>
          <w:rFonts w:hint="eastAsia" w:ascii="宋体" w:hAnsi="宋体"/>
          <w:b/>
          <w:sz w:val="32"/>
          <w:szCs w:val="32"/>
        </w:rPr>
      </w:pPr>
    </w:p>
    <w:p w14:paraId="387CBA4C">
      <w:pPr>
        <w:jc w:val="center"/>
        <w:rPr>
          <w:rFonts w:hint="eastAsia" w:ascii="宋体" w:hAnsi="宋体"/>
          <w:b/>
          <w:sz w:val="32"/>
          <w:szCs w:val="32"/>
        </w:rPr>
      </w:pPr>
    </w:p>
    <w:p w14:paraId="316116E4">
      <w:pPr>
        <w:jc w:val="center"/>
        <w:rPr>
          <w:rFonts w:hint="eastAsia" w:ascii="宋体" w:hAnsi="宋体"/>
          <w:b/>
          <w:sz w:val="32"/>
          <w:szCs w:val="32"/>
        </w:rPr>
      </w:pPr>
    </w:p>
    <w:p w14:paraId="02C2AA76">
      <w:pPr>
        <w:pStyle w:val="10"/>
        <w:rPr>
          <w:rFonts w:hint="eastAsia" w:ascii="宋体" w:hAnsi="宋体"/>
          <w:b/>
          <w:sz w:val="32"/>
          <w:szCs w:val="32"/>
        </w:rPr>
      </w:pPr>
    </w:p>
    <w:p w14:paraId="2A4DDAD7">
      <w:pPr>
        <w:rPr>
          <w:rFonts w:hint="eastAsia"/>
        </w:rPr>
      </w:pPr>
    </w:p>
    <w:p w14:paraId="47644ECF">
      <w:pPr>
        <w:jc w:val="center"/>
        <w:rPr>
          <w:rFonts w:hint="eastAsia" w:ascii="宋体" w:hAnsi="宋体"/>
          <w:b/>
          <w:sz w:val="32"/>
          <w:szCs w:val="32"/>
        </w:rPr>
      </w:pPr>
    </w:p>
    <w:p w14:paraId="68E211A0">
      <w:pPr>
        <w:ind w:left="3845" w:hanging="2249"/>
        <w:rPr>
          <w:rFonts w:hint="eastAsia" w:ascii="宋体" w:hAnsi="宋体" w:eastAsia="宋体"/>
          <w:b/>
          <w:sz w:val="32"/>
          <w:szCs w:val="32"/>
          <w:lang w:eastAsia="zh-CN"/>
        </w:rPr>
      </w:pPr>
      <w:r>
        <w:rPr>
          <w:rFonts w:hint="eastAsia" w:ascii="宋体" w:hAnsi="宋体"/>
          <w:b/>
          <w:sz w:val="32"/>
          <w:szCs w:val="32"/>
        </w:rPr>
        <w:t>项 目 名 称：</w:t>
      </w:r>
      <w:r>
        <w:rPr>
          <w:rFonts w:hint="eastAsia" w:ascii="宋体" w:hAnsi="宋体"/>
          <w:b/>
          <w:sz w:val="32"/>
          <w:szCs w:val="32"/>
          <w:u w:val="single"/>
        </w:rPr>
        <w:t xml:space="preserve"> </w:t>
      </w:r>
      <w:r>
        <w:rPr>
          <w:rFonts w:hint="eastAsia" w:ascii="宋体" w:hAnsi="宋体"/>
          <w:b/>
          <w:sz w:val="32"/>
          <w:szCs w:val="32"/>
          <w:u w:val="single"/>
          <w:lang w:eastAsia="zh-CN"/>
        </w:rPr>
        <w:t>扬中市西来桥镇垃圾收运市场化运作项目服务项目</w:t>
      </w:r>
    </w:p>
    <w:p w14:paraId="4E28724D">
      <w:pPr>
        <w:ind w:firstLine="1606"/>
        <w:rPr>
          <w:rFonts w:hint="eastAsia" w:ascii="宋体" w:hAnsi="宋体" w:eastAsia="宋体"/>
          <w:b/>
          <w:color w:val="000000"/>
          <w:sz w:val="32"/>
          <w:szCs w:val="32"/>
          <w:u w:val="single"/>
          <w:lang w:eastAsia="zh-CN"/>
        </w:rPr>
      </w:pPr>
      <w:r>
        <w:rPr>
          <w:rFonts w:hint="eastAsia" w:ascii="宋体" w:hAnsi="宋体"/>
          <w:b/>
          <w:color w:val="000000"/>
          <w:sz w:val="32"/>
          <w:szCs w:val="32"/>
        </w:rPr>
        <w:t>项 目 编 号：</w:t>
      </w:r>
      <w:r>
        <w:rPr>
          <w:rFonts w:hint="eastAsia" w:ascii="宋体" w:hAnsi="宋体"/>
          <w:b/>
          <w:color w:val="000000"/>
          <w:sz w:val="32"/>
          <w:szCs w:val="32"/>
          <w:u w:val="single"/>
          <w:lang w:eastAsia="zh-CN"/>
        </w:rPr>
        <w:t>JSZC-321182-ZJSK-C2024-0003</w:t>
      </w:r>
    </w:p>
    <w:p w14:paraId="2A99E2A3">
      <w:pPr>
        <w:rPr>
          <w:rFonts w:hint="eastAsia" w:ascii="宋体" w:hAnsi="宋体"/>
          <w:b/>
          <w:sz w:val="32"/>
          <w:szCs w:val="32"/>
          <w:u w:val="single"/>
        </w:rPr>
      </w:pPr>
      <w:r>
        <w:rPr>
          <w:rFonts w:hint="eastAsia" w:ascii="宋体" w:hAnsi="宋体"/>
          <w:b/>
          <w:sz w:val="32"/>
          <w:szCs w:val="32"/>
        </w:rPr>
        <w:t xml:space="preserve">          供应商名称 ： </w:t>
      </w:r>
      <w:r>
        <w:rPr>
          <w:rFonts w:hint="eastAsia" w:ascii="宋体" w:hAnsi="宋体"/>
          <w:b/>
          <w:sz w:val="32"/>
          <w:szCs w:val="32"/>
          <w:u w:val="single"/>
        </w:rPr>
        <w:t>（加盖CA电子公章）</w:t>
      </w:r>
    </w:p>
    <w:p w14:paraId="083C9637">
      <w:pPr>
        <w:rPr>
          <w:rFonts w:hint="eastAsia" w:ascii="宋体" w:hAnsi="宋体"/>
          <w:b/>
          <w:sz w:val="32"/>
          <w:szCs w:val="32"/>
          <w:u w:val="single"/>
        </w:rPr>
      </w:pPr>
      <w:r>
        <w:rPr>
          <w:rFonts w:hint="eastAsia" w:ascii="宋体" w:hAnsi="宋体"/>
          <w:b/>
          <w:sz w:val="32"/>
          <w:szCs w:val="32"/>
        </w:rPr>
        <w:t xml:space="preserve">          日      期 ：</w:t>
      </w:r>
      <w:r>
        <w:rPr>
          <w:rFonts w:hint="eastAsia" w:ascii="宋体" w:hAnsi="宋体"/>
          <w:b/>
          <w:sz w:val="32"/>
          <w:szCs w:val="32"/>
          <w:lang w:val="en-US" w:eastAsia="zh-CN"/>
        </w:rPr>
        <w:t xml:space="preserve"> </w:t>
      </w:r>
      <w:r>
        <w:rPr>
          <w:rFonts w:hint="eastAsia" w:ascii="宋体" w:hAnsi="宋体"/>
          <w:b/>
          <w:sz w:val="32"/>
          <w:szCs w:val="32"/>
          <w:u w:val="single"/>
        </w:rPr>
        <w:t xml:space="preserve"> 2024年  月  日   </w:t>
      </w:r>
    </w:p>
    <w:p w14:paraId="0B34788B">
      <w:pPr>
        <w:spacing w:line="440" w:lineRule="exact"/>
        <w:jc w:val="center"/>
        <w:rPr>
          <w:rFonts w:hint="eastAsia" w:ascii="宋体" w:hAnsi="宋体"/>
          <w:b/>
          <w:bCs/>
          <w:sz w:val="32"/>
          <w:szCs w:val="32"/>
        </w:rPr>
      </w:pPr>
    </w:p>
    <w:p w14:paraId="0D75B769">
      <w:pPr>
        <w:spacing w:line="440" w:lineRule="exact"/>
        <w:rPr>
          <w:rFonts w:ascii="宋体" w:hAnsi="宋体"/>
          <w:sz w:val="32"/>
          <w:szCs w:val="32"/>
        </w:rPr>
      </w:pPr>
    </w:p>
    <w:p w14:paraId="3B13A010">
      <w:pPr>
        <w:rPr>
          <w:rFonts w:ascii="宋体" w:hAnsi="宋体"/>
          <w:b/>
          <w:bCs/>
          <w:sz w:val="24"/>
          <w:szCs w:val="24"/>
        </w:rPr>
      </w:pPr>
    </w:p>
    <w:p w14:paraId="528613E7">
      <w:pPr>
        <w:spacing w:line="440" w:lineRule="exact"/>
        <w:jc w:val="center"/>
        <w:rPr>
          <w:rFonts w:hint="eastAsia" w:ascii="宋体" w:hAnsi="宋体"/>
          <w:b/>
          <w:bCs/>
          <w:sz w:val="32"/>
          <w:szCs w:val="32"/>
        </w:rPr>
      </w:pPr>
    </w:p>
    <w:p w14:paraId="3011A37E">
      <w:pPr>
        <w:spacing w:line="440" w:lineRule="exact"/>
        <w:jc w:val="center"/>
        <w:rPr>
          <w:rFonts w:hint="eastAsia" w:ascii="宋体" w:hAnsi="宋体"/>
          <w:b/>
          <w:bCs/>
          <w:sz w:val="32"/>
          <w:szCs w:val="32"/>
        </w:rPr>
      </w:pPr>
    </w:p>
    <w:p w14:paraId="051BDE4F">
      <w:pPr>
        <w:spacing w:line="440" w:lineRule="exact"/>
        <w:jc w:val="center"/>
        <w:rPr>
          <w:rFonts w:hint="eastAsia" w:ascii="宋体" w:hAnsi="宋体"/>
          <w:b/>
          <w:bCs/>
          <w:sz w:val="32"/>
          <w:szCs w:val="32"/>
        </w:rPr>
      </w:pPr>
    </w:p>
    <w:p w14:paraId="632E4245">
      <w:pPr>
        <w:spacing w:line="440" w:lineRule="exact"/>
        <w:jc w:val="center"/>
        <w:rPr>
          <w:rFonts w:hint="eastAsia" w:ascii="宋体" w:hAnsi="宋体"/>
          <w:b/>
          <w:bCs/>
          <w:sz w:val="32"/>
          <w:szCs w:val="32"/>
        </w:rPr>
      </w:pPr>
    </w:p>
    <w:p w14:paraId="7EF169CC">
      <w:pPr>
        <w:spacing w:line="440" w:lineRule="exact"/>
        <w:jc w:val="center"/>
        <w:rPr>
          <w:rFonts w:hint="eastAsia" w:ascii="宋体" w:hAnsi="宋体"/>
          <w:b/>
          <w:bCs/>
          <w:sz w:val="32"/>
          <w:szCs w:val="32"/>
        </w:rPr>
      </w:pPr>
    </w:p>
    <w:p w14:paraId="442B4B08">
      <w:pPr>
        <w:spacing w:line="440" w:lineRule="exact"/>
        <w:jc w:val="center"/>
        <w:rPr>
          <w:rFonts w:hint="eastAsia" w:ascii="宋体" w:hAnsi="宋体"/>
          <w:b/>
          <w:bCs/>
          <w:sz w:val="32"/>
          <w:szCs w:val="32"/>
        </w:rPr>
      </w:pPr>
    </w:p>
    <w:p w14:paraId="7F364DFA">
      <w:pPr>
        <w:spacing w:line="440" w:lineRule="exact"/>
        <w:jc w:val="center"/>
        <w:rPr>
          <w:rFonts w:hint="eastAsia" w:ascii="宋体" w:hAnsi="宋体"/>
          <w:b/>
          <w:bCs/>
          <w:sz w:val="32"/>
          <w:szCs w:val="32"/>
        </w:rPr>
      </w:pPr>
    </w:p>
    <w:p w14:paraId="3D95606E">
      <w:pPr>
        <w:spacing w:line="440" w:lineRule="exact"/>
        <w:jc w:val="center"/>
        <w:rPr>
          <w:rFonts w:hint="eastAsia" w:ascii="宋体" w:hAnsi="宋体"/>
          <w:b/>
          <w:bCs/>
          <w:sz w:val="32"/>
          <w:szCs w:val="32"/>
        </w:rPr>
      </w:pPr>
    </w:p>
    <w:p w14:paraId="6B3A6E8E">
      <w:pPr>
        <w:spacing w:line="440" w:lineRule="exact"/>
        <w:jc w:val="center"/>
        <w:rPr>
          <w:rFonts w:hint="eastAsia" w:ascii="宋体" w:hAnsi="宋体"/>
          <w:b/>
          <w:bCs/>
          <w:sz w:val="32"/>
          <w:szCs w:val="32"/>
        </w:rPr>
      </w:pPr>
      <w:r>
        <w:rPr>
          <w:rFonts w:hint="eastAsia" w:ascii="宋体" w:hAnsi="宋体"/>
          <w:b/>
          <w:bCs/>
          <w:sz w:val="32"/>
          <w:szCs w:val="32"/>
        </w:rPr>
        <w:t>响应文件目录</w:t>
      </w:r>
    </w:p>
    <w:p w14:paraId="11F45E7F">
      <w:pPr>
        <w:spacing w:line="440" w:lineRule="exact"/>
        <w:jc w:val="center"/>
        <w:rPr>
          <w:rFonts w:hint="eastAsia" w:ascii="宋体" w:hAnsi="宋体"/>
          <w:b/>
          <w:bCs/>
          <w:sz w:val="24"/>
          <w:szCs w:val="24"/>
        </w:rPr>
      </w:pPr>
    </w:p>
    <w:p w14:paraId="2509EC2B">
      <w:pPr>
        <w:spacing w:line="440" w:lineRule="exact"/>
        <w:ind w:left="480"/>
        <w:rPr>
          <w:rFonts w:hint="eastAsia" w:ascii="宋体" w:hAnsi="宋体"/>
          <w:i/>
          <w:sz w:val="24"/>
          <w:szCs w:val="24"/>
          <w:u w:val="single"/>
        </w:rPr>
      </w:pPr>
      <w:r>
        <w:rPr>
          <w:rFonts w:hint="eastAsia" w:ascii="宋体" w:hAnsi="宋体"/>
          <w:i/>
          <w:sz w:val="24"/>
          <w:szCs w:val="24"/>
          <w:u w:val="single"/>
        </w:rPr>
        <w:t>一、具有独立承担民事责任的能力</w:t>
      </w:r>
    </w:p>
    <w:p w14:paraId="3778E4C3">
      <w:pPr>
        <w:spacing w:line="440" w:lineRule="exact"/>
        <w:ind w:left="480"/>
        <w:rPr>
          <w:rFonts w:hint="eastAsia" w:ascii="宋体" w:hAnsi="宋体"/>
          <w:i/>
          <w:sz w:val="24"/>
          <w:szCs w:val="24"/>
          <w:u w:val="single"/>
        </w:rPr>
      </w:pPr>
      <w:r>
        <w:rPr>
          <w:rFonts w:hint="eastAsia" w:ascii="宋体" w:hAnsi="宋体"/>
          <w:i/>
          <w:sz w:val="24"/>
          <w:szCs w:val="24"/>
          <w:u w:val="single"/>
        </w:rPr>
        <w:t>二、具有良好的商业信誉和健全的财务会计制度</w:t>
      </w:r>
    </w:p>
    <w:p w14:paraId="06B1C54B">
      <w:pPr>
        <w:spacing w:line="440" w:lineRule="exact"/>
        <w:ind w:left="480"/>
        <w:rPr>
          <w:rFonts w:hint="eastAsia" w:ascii="宋体" w:hAnsi="宋体"/>
          <w:i/>
          <w:sz w:val="24"/>
          <w:szCs w:val="24"/>
          <w:u w:val="single"/>
        </w:rPr>
      </w:pPr>
      <w:r>
        <w:rPr>
          <w:rFonts w:hint="eastAsia" w:ascii="宋体" w:hAnsi="宋体"/>
          <w:i/>
          <w:sz w:val="24"/>
          <w:szCs w:val="24"/>
          <w:u w:val="single"/>
        </w:rPr>
        <w:t>三、具有履行合同所必需的设备和专业技术能力</w:t>
      </w:r>
    </w:p>
    <w:p w14:paraId="18D5D8D2">
      <w:pPr>
        <w:spacing w:line="440" w:lineRule="exact"/>
        <w:ind w:left="480"/>
        <w:rPr>
          <w:rFonts w:hint="eastAsia" w:ascii="宋体" w:hAnsi="宋体"/>
          <w:i/>
          <w:sz w:val="24"/>
          <w:szCs w:val="24"/>
          <w:u w:val="single"/>
        </w:rPr>
      </w:pPr>
      <w:r>
        <w:rPr>
          <w:rFonts w:hint="eastAsia" w:ascii="宋体" w:hAnsi="宋体"/>
          <w:i/>
          <w:sz w:val="24"/>
          <w:szCs w:val="24"/>
          <w:u w:val="single"/>
        </w:rPr>
        <w:t>四、提供参加本次政府采购活动前三年内，在经营活动中没有重大违法记录的承诺函</w:t>
      </w:r>
    </w:p>
    <w:p w14:paraId="015AB1FD">
      <w:pPr>
        <w:spacing w:line="440" w:lineRule="exact"/>
        <w:ind w:left="480"/>
        <w:rPr>
          <w:rFonts w:hint="eastAsia" w:ascii="宋体" w:hAnsi="宋体"/>
          <w:i/>
          <w:sz w:val="24"/>
          <w:szCs w:val="24"/>
          <w:u w:val="single"/>
        </w:rPr>
      </w:pPr>
      <w:r>
        <w:rPr>
          <w:rFonts w:hint="eastAsia" w:ascii="宋体" w:hAnsi="宋体"/>
          <w:i/>
          <w:sz w:val="24"/>
          <w:szCs w:val="24"/>
          <w:u w:val="single"/>
        </w:rPr>
        <w:t>五、依法缴纳税收和社会保障资金的相关材料</w:t>
      </w:r>
    </w:p>
    <w:p w14:paraId="4331D436">
      <w:pPr>
        <w:spacing w:line="440" w:lineRule="exact"/>
        <w:ind w:firstLine="480" w:firstLineChars="200"/>
        <w:rPr>
          <w:rFonts w:hint="eastAsia" w:ascii="宋体" w:hAnsi="宋体"/>
          <w:i/>
          <w:sz w:val="24"/>
          <w:szCs w:val="24"/>
          <w:u w:val="single"/>
        </w:rPr>
      </w:pPr>
      <w:r>
        <w:rPr>
          <w:rFonts w:hint="eastAsia" w:ascii="宋体" w:hAnsi="宋体"/>
          <w:i/>
          <w:sz w:val="24"/>
          <w:szCs w:val="24"/>
          <w:u w:val="single"/>
        </w:rPr>
        <w:t>六、特定资格要求的证明文件（如果本项目设置特定资格要求，则需要提供）</w:t>
      </w:r>
    </w:p>
    <w:p w14:paraId="6609D047">
      <w:pPr>
        <w:spacing w:line="440" w:lineRule="exact"/>
        <w:ind w:firstLine="480" w:firstLineChars="200"/>
        <w:rPr>
          <w:rFonts w:hint="eastAsia" w:ascii="宋体" w:hAnsi="宋体"/>
          <w:i/>
          <w:sz w:val="24"/>
          <w:szCs w:val="24"/>
          <w:u w:val="single"/>
        </w:rPr>
      </w:pPr>
      <w:r>
        <w:rPr>
          <w:rFonts w:hint="eastAsia" w:ascii="宋体" w:hAnsi="宋体"/>
          <w:i/>
          <w:sz w:val="24"/>
          <w:szCs w:val="24"/>
          <w:u w:val="single"/>
        </w:rPr>
        <w:t>七、法人授权书</w:t>
      </w:r>
    </w:p>
    <w:p w14:paraId="79B4C399">
      <w:pPr>
        <w:spacing w:line="440" w:lineRule="exact"/>
        <w:ind w:firstLine="480" w:firstLineChars="200"/>
        <w:rPr>
          <w:rFonts w:hint="eastAsia" w:ascii="宋体" w:hAnsi="宋体"/>
          <w:i/>
          <w:sz w:val="24"/>
          <w:szCs w:val="24"/>
          <w:u w:val="single"/>
        </w:rPr>
      </w:pPr>
      <w:r>
        <w:rPr>
          <w:rFonts w:hint="eastAsia" w:ascii="宋体" w:hAnsi="宋体"/>
          <w:i/>
          <w:sz w:val="24"/>
          <w:szCs w:val="24"/>
          <w:u w:val="single"/>
        </w:rPr>
        <w:t>八、磋商响应函</w:t>
      </w:r>
    </w:p>
    <w:p w14:paraId="277AC3AD">
      <w:pPr>
        <w:spacing w:line="440" w:lineRule="exact"/>
        <w:ind w:firstLine="480" w:firstLineChars="200"/>
        <w:rPr>
          <w:rFonts w:hint="eastAsia" w:ascii="宋体" w:hAnsi="宋体"/>
          <w:sz w:val="24"/>
          <w:szCs w:val="24"/>
        </w:rPr>
      </w:pPr>
      <w:r>
        <w:rPr>
          <w:rFonts w:hint="eastAsia" w:ascii="宋体" w:hAnsi="宋体"/>
          <w:sz w:val="24"/>
          <w:szCs w:val="24"/>
        </w:rPr>
        <w:t>九、中小企业声明函</w:t>
      </w:r>
    </w:p>
    <w:p w14:paraId="4D66F63B">
      <w:pPr>
        <w:spacing w:line="440" w:lineRule="exact"/>
        <w:ind w:firstLine="480" w:firstLineChars="200"/>
        <w:rPr>
          <w:rFonts w:hint="eastAsia" w:ascii="宋体" w:hAnsi="宋体"/>
          <w:sz w:val="24"/>
          <w:szCs w:val="24"/>
        </w:rPr>
      </w:pPr>
      <w:r>
        <w:rPr>
          <w:rFonts w:hint="eastAsia" w:ascii="宋体" w:hAnsi="宋体"/>
          <w:sz w:val="24"/>
          <w:szCs w:val="24"/>
        </w:rPr>
        <w:t>十、残疾人福利性单位声明函</w:t>
      </w:r>
    </w:p>
    <w:p w14:paraId="6BB4238F">
      <w:pPr>
        <w:spacing w:line="440" w:lineRule="exact"/>
        <w:ind w:firstLine="480" w:firstLineChars="200"/>
        <w:rPr>
          <w:rFonts w:hint="eastAsia" w:ascii="宋体" w:hAnsi="宋体"/>
          <w:sz w:val="24"/>
          <w:szCs w:val="24"/>
        </w:rPr>
      </w:pPr>
      <w:r>
        <w:rPr>
          <w:rFonts w:hint="eastAsia" w:ascii="宋体" w:hAnsi="宋体"/>
          <w:sz w:val="24"/>
          <w:szCs w:val="24"/>
        </w:rPr>
        <w:t>十一、联合体协议</w:t>
      </w:r>
    </w:p>
    <w:p w14:paraId="1C0CC53C">
      <w:pPr>
        <w:spacing w:line="440" w:lineRule="exact"/>
        <w:ind w:firstLine="480" w:firstLineChars="200"/>
        <w:rPr>
          <w:rFonts w:hint="eastAsia" w:ascii="宋体" w:hAnsi="宋体"/>
          <w:sz w:val="24"/>
          <w:szCs w:val="24"/>
        </w:rPr>
      </w:pPr>
      <w:r>
        <w:rPr>
          <w:rFonts w:hint="eastAsia" w:ascii="宋体" w:hAnsi="宋体"/>
          <w:sz w:val="24"/>
          <w:szCs w:val="24"/>
        </w:rPr>
        <w:t>十二、技术部分</w:t>
      </w:r>
    </w:p>
    <w:p w14:paraId="64EA786A">
      <w:pPr>
        <w:spacing w:line="440" w:lineRule="exact"/>
        <w:ind w:firstLine="480" w:firstLineChars="200"/>
        <w:rPr>
          <w:rFonts w:hint="eastAsia" w:ascii="宋体" w:hAnsi="宋体"/>
          <w:sz w:val="24"/>
          <w:szCs w:val="24"/>
        </w:rPr>
      </w:pPr>
      <w:r>
        <w:rPr>
          <w:rFonts w:hint="eastAsia" w:ascii="宋体" w:hAnsi="宋体"/>
          <w:sz w:val="24"/>
          <w:szCs w:val="24"/>
        </w:rPr>
        <w:t>十三、开标一览表</w:t>
      </w:r>
    </w:p>
    <w:p w14:paraId="2DEFAEC8">
      <w:pPr>
        <w:spacing w:line="440" w:lineRule="exact"/>
        <w:ind w:firstLine="480" w:firstLineChars="200"/>
        <w:rPr>
          <w:rFonts w:hint="eastAsia" w:ascii="宋体" w:hAnsi="宋体"/>
          <w:sz w:val="24"/>
          <w:szCs w:val="24"/>
        </w:rPr>
      </w:pPr>
      <w:r>
        <w:rPr>
          <w:rFonts w:hint="eastAsia" w:ascii="宋体" w:hAnsi="宋体"/>
          <w:sz w:val="24"/>
          <w:szCs w:val="24"/>
        </w:rPr>
        <w:t>十四、</w:t>
      </w:r>
      <w:r>
        <w:rPr>
          <w:rFonts w:hint="eastAsia" w:ascii="宋体" w:hAnsi="宋体"/>
          <w:sz w:val="24"/>
          <w:szCs w:val="24"/>
          <w:lang w:val="en-US" w:eastAsia="zh-CN"/>
        </w:rPr>
        <w:t>报价明细表</w:t>
      </w:r>
    </w:p>
    <w:p w14:paraId="64709D3E">
      <w:pPr>
        <w:spacing w:line="440" w:lineRule="exact"/>
        <w:ind w:firstLine="480" w:firstLineChars="200"/>
        <w:rPr>
          <w:rFonts w:hint="eastAsia" w:ascii="宋体" w:hAnsi="宋体"/>
          <w:sz w:val="24"/>
          <w:szCs w:val="24"/>
        </w:rPr>
      </w:pPr>
      <w:r>
        <w:rPr>
          <w:rFonts w:hint="eastAsia" w:ascii="宋体" w:hAnsi="宋体"/>
          <w:sz w:val="24"/>
          <w:szCs w:val="24"/>
        </w:rPr>
        <w:t>十五、资格承诺函</w:t>
      </w:r>
    </w:p>
    <w:p w14:paraId="3C85A46D">
      <w:pPr>
        <w:widowControl/>
        <w:spacing w:line="440" w:lineRule="exact"/>
        <w:ind w:firstLine="48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十六、本项目拟投入人员配置一览表</w:t>
      </w:r>
    </w:p>
    <w:p w14:paraId="15A25814">
      <w:pPr>
        <w:widowControl/>
        <w:spacing w:line="440" w:lineRule="exact"/>
        <w:ind w:firstLine="48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十七、项目负责人履历表</w:t>
      </w:r>
    </w:p>
    <w:p w14:paraId="1373ADA5">
      <w:pPr>
        <w:widowControl/>
        <w:spacing w:line="440" w:lineRule="exact"/>
        <w:ind w:firstLine="48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十八、拟投入本项目作业车辆汇总表</w:t>
      </w:r>
    </w:p>
    <w:p w14:paraId="38973DA3">
      <w:pPr>
        <w:widowControl/>
        <w:spacing w:line="44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十九、磋商响应单位相关信息一览表</w:t>
      </w:r>
    </w:p>
    <w:p w14:paraId="4E8B6BFC">
      <w:pPr>
        <w:pStyle w:val="7"/>
        <w:rPr>
          <w:rFonts w:hint="eastAsia" w:ascii="宋体" w:hAnsi="宋体"/>
          <w:sz w:val="24"/>
          <w:szCs w:val="24"/>
        </w:rPr>
      </w:pPr>
    </w:p>
    <w:p w14:paraId="247301F2">
      <w:pPr>
        <w:pStyle w:val="8"/>
        <w:rPr>
          <w:rFonts w:hint="eastAsia" w:ascii="宋体" w:hAnsi="宋体"/>
          <w:sz w:val="24"/>
          <w:szCs w:val="24"/>
        </w:rPr>
      </w:pPr>
    </w:p>
    <w:p w14:paraId="25225EDF"/>
    <w:p w14:paraId="73BFE6F4">
      <w:pPr>
        <w:pStyle w:val="3"/>
        <w:spacing w:line="480" w:lineRule="exact"/>
        <w:ind w:firstLine="1540"/>
        <w:jc w:val="center"/>
        <w:rPr>
          <w:rFonts w:ascii="仿宋" w:hAnsi="仿宋" w:eastAsia="仿宋"/>
          <w:color w:val="auto"/>
          <w:sz w:val="28"/>
          <w:szCs w:val="28"/>
        </w:rPr>
      </w:pPr>
      <w:r>
        <w:rPr>
          <w:rFonts w:hint="eastAsia" w:ascii="宋体" w:hAnsi="宋体"/>
          <w:b/>
          <w:bCs/>
          <w:sz w:val="24"/>
          <w:szCs w:val="24"/>
        </w:rPr>
        <w:br w:type="page" w:clear="all"/>
      </w:r>
    </w:p>
    <w:p w14:paraId="653C4948">
      <w:pPr>
        <w:numPr>
          <w:ilvl w:val="0"/>
          <w:numId w:val="7"/>
        </w:numPr>
        <w:spacing w:line="440" w:lineRule="exact"/>
        <w:ind w:left="440" w:leftChars="0" w:firstLine="560" w:firstLineChars="0"/>
        <w:rPr>
          <w:rFonts w:hint="eastAsia" w:ascii="宋体" w:hAnsi="宋体"/>
          <w:sz w:val="24"/>
          <w:szCs w:val="24"/>
        </w:rPr>
      </w:pPr>
      <w:r>
        <w:rPr>
          <w:rFonts w:hint="eastAsia" w:ascii="宋体" w:hAnsi="宋体"/>
          <w:sz w:val="24"/>
          <w:szCs w:val="24"/>
        </w:rPr>
        <w:t>具有独立承担民事责任的能力</w:t>
      </w:r>
    </w:p>
    <w:p w14:paraId="6A63AB16">
      <w:pPr>
        <w:spacing w:line="440" w:lineRule="exact"/>
        <w:ind w:firstLine="480" w:firstLineChars="200"/>
        <w:rPr>
          <w:rFonts w:hint="eastAsia" w:ascii="宋体" w:hAnsi="宋体"/>
          <w:sz w:val="24"/>
          <w:szCs w:val="24"/>
        </w:rPr>
      </w:pPr>
      <w:r>
        <w:rPr>
          <w:rFonts w:ascii="宋体" w:hAnsi="宋体"/>
          <w:sz w:val="24"/>
          <w:szCs w:val="24"/>
        </w:rPr>
        <w:t>提供法人或者其他组织的营业执照等证明文件，自然人的身份证明；如供应商为事业单位，请提供事业单位法人证书</w:t>
      </w:r>
      <w:r>
        <w:rPr>
          <w:rFonts w:hint="eastAsia" w:ascii="宋体" w:hAnsi="宋体"/>
          <w:sz w:val="24"/>
          <w:szCs w:val="24"/>
        </w:rPr>
        <w:t>。</w:t>
      </w:r>
    </w:p>
    <w:p w14:paraId="3B474EDE">
      <w:pPr>
        <w:numPr>
          <w:ilvl w:val="0"/>
          <w:numId w:val="7"/>
        </w:numPr>
        <w:spacing w:line="440" w:lineRule="exact"/>
        <w:ind w:left="440" w:leftChars="0" w:firstLine="560" w:firstLineChars="0"/>
        <w:rPr>
          <w:rFonts w:hint="eastAsia" w:ascii="宋体" w:hAnsi="宋体"/>
          <w:sz w:val="24"/>
          <w:szCs w:val="24"/>
          <w:highlight w:val="white"/>
        </w:rPr>
      </w:pPr>
      <w:r>
        <w:rPr>
          <w:rFonts w:hint="eastAsia" w:ascii="宋体" w:hAnsi="宋体"/>
          <w:sz w:val="24"/>
          <w:szCs w:val="24"/>
        </w:rPr>
        <w:t>具有良好的商业信誉和健全的财务会计制度</w:t>
      </w:r>
    </w:p>
    <w:p w14:paraId="6850718F">
      <w:pPr>
        <w:spacing w:line="440" w:lineRule="exact"/>
        <w:ind w:firstLine="480" w:firstLineChars="200"/>
        <w:rPr>
          <w:rFonts w:hint="eastAsia" w:ascii="宋体" w:hAnsi="宋体"/>
          <w:sz w:val="24"/>
          <w:szCs w:val="24"/>
        </w:rPr>
      </w:pPr>
      <w:r>
        <w:rPr>
          <w:rFonts w:hint="eastAsia" w:ascii="宋体" w:hAnsi="宋体"/>
          <w:sz w:val="24"/>
          <w:szCs w:val="24"/>
          <w:highlight w:val="white"/>
        </w:rPr>
        <w:t>提供202</w:t>
      </w:r>
      <w:r>
        <w:rPr>
          <w:rFonts w:hint="eastAsia" w:ascii="宋体" w:hAnsi="宋体"/>
          <w:sz w:val="24"/>
          <w:szCs w:val="24"/>
          <w:highlight w:val="white"/>
          <w:lang w:val="en-US" w:eastAsia="zh-CN"/>
        </w:rPr>
        <w:t>3</w:t>
      </w:r>
      <w:r>
        <w:rPr>
          <w:rFonts w:hint="eastAsia" w:ascii="宋体" w:hAnsi="宋体"/>
          <w:sz w:val="24"/>
          <w:szCs w:val="24"/>
          <w:highlight w:val="white"/>
        </w:rPr>
        <w:t>年度财务报告（成立不满一年的提供至少一个月财务报告），或银行出具的资信证明，或财政部门认可的政府采购专业担保机构出具的投标担保函】。</w:t>
      </w:r>
    </w:p>
    <w:p w14:paraId="2283E157">
      <w:pPr>
        <w:numPr>
          <w:ilvl w:val="0"/>
          <w:numId w:val="7"/>
        </w:numPr>
        <w:spacing w:line="440" w:lineRule="exact"/>
        <w:ind w:left="440" w:leftChars="0" w:firstLine="560" w:firstLineChars="0"/>
        <w:rPr>
          <w:rFonts w:hint="eastAsia" w:ascii="宋体" w:hAnsi="宋体"/>
          <w:sz w:val="24"/>
          <w:szCs w:val="24"/>
        </w:rPr>
      </w:pPr>
      <w:r>
        <w:rPr>
          <w:rFonts w:hint="eastAsia" w:ascii="宋体" w:hAnsi="宋体"/>
          <w:sz w:val="24"/>
          <w:szCs w:val="24"/>
        </w:rPr>
        <w:t>具有履行合同所必需的设备和专业技术能力</w:t>
      </w:r>
    </w:p>
    <w:p w14:paraId="6A3768A0">
      <w:pPr>
        <w:spacing w:line="440" w:lineRule="exact"/>
        <w:ind w:firstLine="480" w:firstLineChars="200"/>
        <w:rPr>
          <w:rFonts w:hint="eastAsia" w:ascii="宋体" w:hAnsi="宋体"/>
          <w:sz w:val="24"/>
          <w:szCs w:val="24"/>
        </w:rPr>
      </w:pPr>
      <w:r>
        <w:rPr>
          <w:rFonts w:hint="eastAsia" w:ascii="宋体" w:hAnsi="宋体"/>
          <w:sz w:val="24"/>
          <w:szCs w:val="24"/>
        </w:rPr>
        <w:t>磋商响应单位相关信息一览表（见响应文件格式）。</w:t>
      </w:r>
    </w:p>
    <w:p w14:paraId="0B819666">
      <w:pPr>
        <w:numPr>
          <w:ilvl w:val="0"/>
          <w:numId w:val="7"/>
        </w:numPr>
        <w:spacing w:line="440" w:lineRule="exact"/>
        <w:ind w:left="440" w:leftChars="0" w:firstLine="560" w:firstLineChars="0"/>
        <w:rPr>
          <w:rFonts w:hint="eastAsia" w:ascii="宋体" w:hAnsi="宋体"/>
          <w:sz w:val="24"/>
          <w:szCs w:val="24"/>
        </w:rPr>
      </w:pPr>
      <w:r>
        <w:rPr>
          <w:rFonts w:hint="eastAsia" w:ascii="宋体" w:hAnsi="宋体"/>
          <w:sz w:val="24"/>
          <w:szCs w:val="24"/>
        </w:rPr>
        <w:t>提供参加本次政府采购活动前三年内，在经营活动中没有重大违法记录的承诺函。</w:t>
      </w:r>
    </w:p>
    <w:p w14:paraId="43A747CF">
      <w:pPr>
        <w:spacing w:line="440" w:lineRule="exact"/>
        <w:ind w:firstLine="480" w:firstLineChars="200"/>
        <w:rPr>
          <w:rFonts w:hint="eastAsia" w:ascii="宋体" w:hAnsi="宋体"/>
          <w:sz w:val="24"/>
          <w:szCs w:val="24"/>
        </w:rPr>
      </w:pPr>
      <w:r>
        <w:rPr>
          <w:rFonts w:hint="eastAsia" w:ascii="宋体" w:hAnsi="宋体"/>
          <w:sz w:val="24"/>
          <w:szCs w:val="24"/>
        </w:rPr>
        <w:t>见磋商响应函第7条。</w:t>
      </w:r>
    </w:p>
    <w:p w14:paraId="00084603">
      <w:pPr>
        <w:numPr>
          <w:ilvl w:val="0"/>
          <w:numId w:val="7"/>
        </w:numPr>
        <w:spacing w:line="440" w:lineRule="exact"/>
        <w:ind w:left="440" w:leftChars="0" w:firstLine="560" w:firstLineChars="0"/>
        <w:rPr>
          <w:rFonts w:hint="eastAsia" w:ascii="宋体" w:hAnsi="宋体"/>
          <w:sz w:val="24"/>
          <w:szCs w:val="24"/>
        </w:rPr>
      </w:pPr>
      <w:r>
        <w:rPr>
          <w:rFonts w:hint="eastAsia" w:ascii="宋体" w:hAnsi="宋体"/>
          <w:sz w:val="24"/>
          <w:szCs w:val="24"/>
        </w:rPr>
        <w:t>依法缴纳税收和社会保障资金的相关材料</w:t>
      </w:r>
    </w:p>
    <w:p w14:paraId="2C1F152D">
      <w:pPr>
        <w:spacing w:line="440" w:lineRule="exact"/>
        <w:ind w:firstLine="480" w:firstLineChars="200"/>
        <w:rPr>
          <w:rFonts w:hint="eastAsia" w:ascii="宋体" w:hAnsi="宋体"/>
          <w:sz w:val="24"/>
          <w:szCs w:val="24"/>
        </w:rPr>
      </w:pPr>
      <w:r>
        <w:rPr>
          <w:rFonts w:hint="eastAsia" w:ascii="宋体" w:hAnsi="宋体"/>
          <w:sz w:val="24"/>
          <w:szCs w:val="24"/>
        </w:rPr>
        <w:t>提供提交响应文件截止时间前一年内至少一个月依法缴纳税收及缴纳社会保障资金的证明材料。供应商依法享受缓缴、免缴税收、社会保障资金的提供证明材料。</w:t>
      </w:r>
    </w:p>
    <w:p w14:paraId="78FE8C85">
      <w:pPr>
        <w:spacing w:line="440" w:lineRule="exact"/>
        <w:ind w:firstLine="480" w:firstLineChars="200"/>
        <w:rPr>
          <w:rFonts w:ascii="宋体" w:hAnsi="宋体"/>
          <w:bCs/>
          <w:sz w:val="24"/>
          <w:szCs w:val="24"/>
        </w:rPr>
      </w:pPr>
      <w:r>
        <w:rPr>
          <w:rFonts w:ascii="宋体" w:hAnsi="宋体"/>
          <w:bCs/>
          <w:sz w:val="24"/>
          <w:szCs w:val="24"/>
        </w:rPr>
        <w:t>注：①按扬财购〔2023〕17号《关于进一步降低政府采购活动成本减轻政府采购供应商负担的通知》本项目申请人的资格条件采取“信用承诺制”，</w:t>
      </w:r>
      <w:r>
        <w:rPr>
          <w:rFonts w:hint="eastAsia" w:ascii="宋体" w:hAnsi="宋体"/>
          <w:bCs/>
          <w:sz w:val="24"/>
          <w:szCs w:val="24"/>
        </w:rPr>
        <w:t>上述</w:t>
      </w:r>
      <w:r>
        <w:rPr>
          <w:rFonts w:ascii="宋体" w:hAnsi="宋体"/>
          <w:bCs/>
          <w:sz w:val="24"/>
          <w:szCs w:val="24"/>
        </w:rPr>
        <w:t>第</w:t>
      </w:r>
      <w:r>
        <w:rPr>
          <w:rFonts w:hint="eastAsia" w:ascii="宋体" w:hAnsi="宋体"/>
          <w:bCs/>
          <w:sz w:val="24"/>
          <w:szCs w:val="24"/>
        </w:rPr>
        <w:t>二</w:t>
      </w:r>
      <w:r>
        <w:rPr>
          <w:rFonts w:ascii="宋体" w:hAnsi="宋体"/>
          <w:bCs/>
          <w:sz w:val="24"/>
          <w:szCs w:val="24"/>
        </w:rPr>
        <w:t>至第</w:t>
      </w:r>
      <w:r>
        <w:rPr>
          <w:rFonts w:hint="eastAsia" w:ascii="宋体" w:hAnsi="宋体"/>
          <w:bCs/>
          <w:sz w:val="24"/>
          <w:szCs w:val="24"/>
        </w:rPr>
        <w:t>五</w:t>
      </w:r>
      <w:r>
        <w:rPr>
          <w:rFonts w:ascii="宋体" w:hAnsi="宋体"/>
          <w:bCs/>
          <w:sz w:val="24"/>
          <w:szCs w:val="24"/>
        </w:rPr>
        <w:t>项，供应商可选择提供资格承诺函</w:t>
      </w:r>
      <w:r>
        <w:rPr>
          <w:rFonts w:hint="eastAsia" w:ascii="宋体" w:hAnsi="宋体"/>
          <w:sz w:val="24"/>
          <w:szCs w:val="24"/>
        </w:rPr>
        <w:t>（见响应文件格式）</w:t>
      </w:r>
      <w:r>
        <w:rPr>
          <w:rFonts w:ascii="宋体" w:hAnsi="宋体"/>
          <w:bCs/>
          <w:sz w:val="24"/>
          <w:szCs w:val="24"/>
        </w:rPr>
        <w:t>，在响应文件中无需再提供与</w:t>
      </w:r>
      <w:r>
        <w:rPr>
          <w:rFonts w:hint="eastAsia" w:ascii="宋体" w:hAnsi="宋体"/>
          <w:bCs/>
          <w:sz w:val="24"/>
          <w:szCs w:val="24"/>
        </w:rPr>
        <w:t>上述</w:t>
      </w:r>
      <w:r>
        <w:rPr>
          <w:rFonts w:ascii="宋体" w:hAnsi="宋体"/>
          <w:bCs/>
          <w:sz w:val="24"/>
          <w:szCs w:val="24"/>
        </w:rPr>
        <w:t>第</w:t>
      </w:r>
      <w:r>
        <w:rPr>
          <w:rFonts w:hint="eastAsia" w:ascii="宋体" w:hAnsi="宋体"/>
          <w:bCs/>
          <w:sz w:val="24"/>
          <w:szCs w:val="24"/>
        </w:rPr>
        <w:t>二</w:t>
      </w:r>
      <w:r>
        <w:rPr>
          <w:rFonts w:ascii="宋体" w:hAnsi="宋体"/>
          <w:bCs/>
          <w:sz w:val="24"/>
          <w:szCs w:val="24"/>
        </w:rPr>
        <w:t>至第</w:t>
      </w:r>
      <w:r>
        <w:rPr>
          <w:rFonts w:hint="eastAsia" w:ascii="宋体" w:hAnsi="宋体"/>
          <w:bCs/>
          <w:sz w:val="24"/>
          <w:szCs w:val="24"/>
        </w:rPr>
        <w:t>五</w:t>
      </w:r>
      <w:r>
        <w:rPr>
          <w:rFonts w:ascii="宋体" w:hAnsi="宋体"/>
          <w:bCs/>
          <w:sz w:val="24"/>
          <w:szCs w:val="24"/>
        </w:rPr>
        <w:t>项相关的证明材料即可参加采购活动。</w:t>
      </w:r>
    </w:p>
    <w:p w14:paraId="4CA4256E">
      <w:pPr>
        <w:spacing w:line="440" w:lineRule="exact"/>
        <w:ind w:firstLine="480" w:firstLineChars="200"/>
        <w:rPr>
          <w:rFonts w:ascii="宋体" w:hAnsi="宋体"/>
          <w:bCs/>
          <w:sz w:val="24"/>
          <w:szCs w:val="24"/>
        </w:rPr>
      </w:pPr>
      <w:r>
        <w:rPr>
          <w:rFonts w:ascii="宋体" w:hAnsi="宋体"/>
          <w:bCs/>
          <w:sz w:val="24"/>
          <w:szCs w:val="24"/>
        </w:rPr>
        <w:t>②供应商可自行选择是否提供承诺函，若不提供承诺函的，应按磋商文件要求提供相应的证明材料。</w:t>
      </w:r>
    </w:p>
    <w:p w14:paraId="5588FE33">
      <w:pPr>
        <w:spacing w:line="440" w:lineRule="exact"/>
        <w:ind w:firstLine="480" w:firstLineChars="200"/>
        <w:rPr>
          <w:rFonts w:ascii="宋体" w:hAnsi="宋体"/>
          <w:bCs/>
          <w:sz w:val="24"/>
          <w:szCs w:val="24"/>
        </w:rPr>
      </w:pPr>
      <w:r>
        <w:rPr>
          <w:rFonts w:ascii="宋体" w:hAnsi="宋体"/>
          <w:bCs/>
          <w:sz w:val="24"/>
          <w:szCs w:val="24"/>
        </w:rPr>
        <w:t>③供应商应当遵循诚实信用原则，不得作虚假承诺。供应商承诺不实的，属于提供虚假材料谋取中标、成交，应承担相应的法律责任。</w:t>
      </w:r>
    </w:p>
    <w:p w14:paraId="789FC968">
      <w:pPr>
        <w:numPr>
          <w:ilvl w:val="0"/>
          <w:numId w:val="7"/>
        </w:numPr>
        <w:spacing w:line="440" w:lineRule="exact"/>
        <w:ind w:left="440" w:leftChars="0" w:firstLine="560" w:firstLineChars="0"/>
        <w:rPr>
          <w:rFonts w:hint="eastAsia" w:ascii="宋体" w:hAnsi="宋体"/>
          <w:sz w:val="24"/>
          <w:szCs w:val="24"/>
        </w:rPr>
      </w:pPr>
      <w:r>
        <w:rPr>
          <w:rFonts w:hint="eastAsia" w:ascii="宋体" w:hAnsi="宋体"/>
          <w:sz w:val="24"/>
          <w:szCs w:val="24"/>
        </w:rPr>
        <w:t>特定资格要求的证明文件</w:t>
      </w:r>
    </w:p>
    <w:p w14:paraId="2DE36934">
      <w:pPr>
        <w:spacing w:line="440" w:lineRule="exact"/>
        <w:ind w:left="560"/>
        <w:rPr>
          <w:rFonts w:hint="eastAsia" w:ascii="宋体" w:hAnsi="宋体"/>
          <w:sz w:val="24"/>
          <w:szCs w:val="24"/>
        </w:rPr>
      </w:pPr>
      <w:r>
        <w:rPr>
          <w:rFonts w:hint="eastAsia" w:ascii="宋体" w:hAnsi="宋体"/>
          <w:sz w:val="24"/>
          <w:szCs w:val="24"/>
        </w:rPr>
        <w:t>如果本项目申请人的特定资格要求中要求提供的，必须提供。</w:t>
      </w:r>
    </w:p>
    <w:p w14:paraId="36403214">
      <w:pPr>
        <w:spacing w:line="440" w:lineRule="exact"/>
        <w:ind w:firstLine="480" w:firstLineChars="200"/>
        <w:rPr>
          <w:rFonts w:hint="eastAsia" w:ascii="宋体" w:hAnsi="宋体"/>
          <w:sz w:val="24"/>
          <w:szCs w:val="24"/>
        </w:rPr>
      </w:pPr>
    </w:p>
    <w:p w14:paraId="2DAFC741">
      <w:pPr>
        <w:spacing w:line="440" w:lineRule="exact"/>
        <w:ind w:firstLine="480" w:firstLineChars="200"/>
        <w:rPr>
          <w:rFonts w:ascii="宋体" w:hAnsi="宋体"/>
          <w:bCs/>
          <w:sz w:val="24"/>
          <w:szCs w:val="24"/>
        </w:rPr>
      </w:pPr>
    </w:p>
    <w:p w14:paraId="63699648">
      <w:pPr>
        <w:spacing w:line="440" w:lineRule="exact"/>
        <w:jc w:val="center"/>
        <w:rPr>
          <w:rFonts w:hint="eastAsia" w:ascii="黑体" w:hAnsi="黑体" w:eastAsia="黑体"/>
          <w:i/>
          <w:sz w:val="24"/>
          <w:szCs w:val="24"/>
          <w:u w:val="single"/>
        </w:rPr>
      </w:pPr>
      <w:bookmarkStart w:id="218" w:name="_Toc120614284"/>
    </w:p>
    <w:p w14:paraId="62C52948">
      <w:pPr>
        <w:numPr>
          <w:ilvl w:val="0"/>
          <w:numId w:val="7"/>
        </w:numPr>
        <w:spacing w:line="440" w:lineRule="exact"/>
        <w:ind w:left="440" w:leftChars="0" w:firstLine="560" w:firstLineChars="0"/>
        <w:jc w:val="center"/>
        <w:rPr>
          <w:rFonts w:hint="eastAsia" w:ascii="黑体" w:hAnsi="黑体" w:eastAsia="黑体"/>
          <w:i/>
          <w:sz w:val="32"/>
          <w:szCs w:val="32"/>
          <w:u w:val="single"/>
        </w:rPr>
      </w:pPr>
      <w:r>
        <w:rPr>
          <w:rFonts w:hint="eastAsia" w:ascii="黑体" w:hAnsi="黑体" w:eastAsia="黑体"/>
          <w:i/>
          <w:sz w:val="24"/>
          <w:szCs w:val="24"/>
          <w:u w:val="single"/>
        </w:rPr>
        <w:br w:type="page"/>
      </w:r>
      <w:r>
        <w:rPr>
          <w:rFonts w:hint="eastAsia" w:ascii="黑体" w:hAnsi="黑体" w:eastAsia="黑体"/>
          <w:i/>
          <w:sz w:val="32"/>
          <w:szCs w:val="32"/>
          <w:u w:val="single"/>
        </w:rPr>
        <w:t>法人授权书</w:t>
      </w:r>
    </w:p>
    <w:p w14:paraId="3F6BDD68">
      <w:pPr>
        <w:spacing w:line="440" w:lineRule="exact"/>
        <w:ind w:left="560"/>
        <w:rPr>
          <w:rFonts w:hint="eastAsia" w:ascii="黑体" w:hAnsi="黑体" w:eastAsia="黑体"/>
          <w:i/>
          <w:sz w:val="32"/>
          <w:szCs w:val="32"/>
          <w:u w:val="single"/>
        </w:rPr>
      </w:pPr>
    </w:p>
    <w:p w14:paraId="44377BD2">
      <w:pPr>
        <w:tabs>
          <w:tab w:val="left" w:pos="360"/>
        </w:tabs>
        <w:spacing w:line="440" w:lineRule="exact"/>
        <w:ind w:firstLine="480" w:firstLineChars="200"/>
        <w:rPr>
          <w:rFonts w:hint="eastAsia" w:ascii="Times New Roman" w:hAnsi="Times New Roman"/>
          <w:sz w:val="24"/>
          <w:szCs w:val="24"/>
        </w:rPr>
      </w:pPr>
      <w:r>
        <w:rPr>
          <w:rFonts w:hint="eastAsia" w:ascii="Times New Roman" w:hAnsi="Times New Roman"/>
          <w:sz w:val="24"/>
          <w:szCs w:val="24"/>
        </w:rPr>
        <w:t>本授权书声明：____________（供应商名称）授权________________（被授权人的姓名）为我方就</w:t>
      </w:r>
      <w:r>
        <w:rPr>
          <w:rFonts w:hint="eastAsia" w:ascii="Times New Roman" w:hAnsi="Times New Roman"/>
          <w:sz w:val="24"/>
          <w:szCs w:val="24"/>
          <w:u w:val="single"/>
        </w:rPr>
        <w:t xml:space="preserve">   扬中市西来桥镇垃圾收运市场化运作项目服务项目 </w:t>
      </w:r>
      <w:r>
        <w:rPr>
          <w:rFonts w:hint="eastAsia" w:ascii="Times New Roman" w:hAnsi="Times New Roman"/>
          <w:sz w:val="24"/>
          <w:szCs w:val="24"/>
          <w:u w:val="single"/>
          <w:lang w:eastAsia="zh-CN"/>
        </w:rPr>
        <w:t>JSZC-321182-ZJSK-C2024-0003</w:t>
      </w:r>
      <w:r>
        <w:rPr>
          <w:rFonts w:hint="eastAsia" w:ascii="Times New Roman" w:hAnsi="Times New Roman"/>
          <w:sz w:val="24"/>
          <w:szCs w:val="24"/>
          <w:u w:val="single"/>
        </w:rPr>
        <w:t xml:space="preserve">   </w:t>
      </w:r>
      <w:r>
        <w:rPr>
          <w:rFonts w:hint="eastAsia" w:ascii="Times New Roman" w:hAnsi="Times New Roman"/>
          <w:sz w:val="24"/>
          <w:szCs w:val="24"/>
        </w:rPr>
        <w:t>号项目采购活动的合法代理人，以本单位名义全权处理一切与该项目采购有关的事务。</w:t>
      </w:r>
    </w:p>
    <w:p w14:paraId="1F476260">
      <w:pPr>
        <w:tabs>
          <w:tab w:val="left" w:pos="360"/>
        </w:tabs>
        <w:spacing w:line="440" w:lineRule="exact"/>
        <w:ind w:firstLine="480" w:firstLineChars="200"/>
        <w:rPr>
          <w:rFonts w:hint="eastAsia" w:ascii="Times New Roman" w:hAnsi="Times New Roman"/>
          <w:sz w:val="24"/>
          <w:szCs w:val="24"/>
        </w:rPr>
      </w:pPr>
      <w:r>
        <w:rPr>
          <w:rFonts w:hint="eastAsia" w:ascii="Times New Roman" w:hAnsi="Times New Roman"/>
          <w:sz w:val="24"/>
          <w:szCs w:val="24"/>
        </w:rPr>
        <w:t>本授权书于______年____月____日起生效，特此声明。</w:t>
      </w:r>
    </w:p>
    <w:p w14:paraId="1559372F">
      <w:pPr>
        <w:tabs>
          <w:tab w:val="left" w:pos="360"/>
        </w:tabs>
        <w:spacing w:line="440" w:lineRule="exact"/>
        <w:ind w:left="1200" w:leftChars="600" w:firstLine="0" w:firstLineChars="0"/>
        <w:jc w:val="left"/>
        <w:rPr>
          <w:rFonts w:hint="eastAsia" w:ascii="Times New Roman" w:hAnsi="Times New Roman"/>
          <w:sz w:val="24"/>
          <w:szCs w:val="24"/>
          <w:u w:val="single"/>
        </w:rPr>
      </w:pPr>
      <w:r>
        <w:rPr>
          <w:rFonts w:hint="eastAsia" w:ascii="Times New Roman" w:hAnsi="Times New Roman"/>
          <w:sz w:val="24"/>
          <w:szCs w:val="24"/>
        </w:rPr>
        <w:t>被授权人身份证号码：______________</w:t>
      </w:r>
      <w:r>
        <w:rPr>
          <w:rFonts w:hint="eastAsia" w:ascii="Times New Roman" w:hAnsi="Times New Roman"/>
          <w:sz w:val="24"/>
          <w:szCs w:val="24"/>
          <w:u w:val="single"/>
        </w:rPr>
        <w:t xml:space="preserve">                              </w:t>
      </w:r>
    </w:p>
    <w:p w14:paraId="51419877">
      <w:pPr>
        <w:tabs>
          <w:tab w:val="left" w:pos="360"/>
        </w:tabs>
        <w:spacing w:line="440" w:lineRule="exact"/>
        <w:ind w:left="1200" w:leftChars="600" w:firstLine="0" w:firstLineChars="0"/>
        <w:jc w:val="left"/>
        <w:rPr>
          <w:rFonts w:hint="eastAsia" w:ascii="Times New Roman" w:hAnsi="Times New Roman"/>
          <w:sz w:val="24"/>
          <w:szCs w:val="24"/>
          <w:u w:val="single"/>
        </w:rPr>
      </w:pPr>
      <w:r>
        <w:rPr>
          <w:rFonts w:hint="eastAsia" w:ascii="Times New Roman" w:hAnsi="Times New Roman"/>
          <w:sz w:val="24"/>
          <w:szCs w:val="24"/>
        </w:rPr>
        <w:t>被授权人联系电话：（手机）______________</w:t>
      </w:r>
      <w:r>
        <w:rPr>
          <w:rFonts w:hint="eastAsia" w:ascii="Times New Roman" w:hAnsi="Times New Roman"/>
          <w:sz w:val="24"/>
          <w:szCs w:val="24"/>
          <w:u w:val="single"/>
        </w:rPr>
        <w:t xml:space="preserve">                          </w:t>
      </w:r>
    </w:p>
    <w:p w14:paraId="77603CB4">
      <w:pPr>
        <w:tabs>
          <w:tab w:val="left" w:pos="360"/>
        </w:tabs>
        <w:spacing w:line="440" w:lineRule="exact"/>
        <w:ind w:left="1200" w:leftChars="600" w:firstLine="0" w:firstLineChars="0"/>
        <w:jc w:val="left"/>
        <w:rPr>
          <w:rFonts w:hint="eastAsia" w:ascii="Times New Roman" w:hAnsi="Times New Roman"/>
          <w:sz w:val="24"/>
          <w:szCs w:val="24"/>
          <w:u w:val="single"/>
        </w:rPr>
      </w:pPr>
      <w:r>
        <w:rPr>
          <w:rFonts w:hint="eastAsia" w:ascii="Times New Roman" w:hAnsi="Times New Roman"/>
          <w:sz w:val="24"/>
          <w:szCs w:val="24"/>
        </w:rPr>
        <w:t>授权单位名称：</w:t>
      </w:r>
      <w:r>
        <w:rPr>
          <w:rFonts w:hint="eastAsia" w:ascii="Times New Roman" w:hAnsi="Times New Roman"/>
          <w:sz w:val="24"/>
          <w:szCs w:val="24"/>
          <w:u w:val="single"/>
        </w:rPr>
        <w:t>（加盖CA电子公章）</w:t>
      </w:r>
    </w:p>
    <w:p w14:paraId="50FCE808">
      <w:pPr>
        <w:tabs>
          <w:tab w:val="left" w:pos="360"/>
        </w:tabs>
        <w:spacing w:line="440" w:lineRule="exact"/>
        <w:ind w:left="1200" w:leftChars="600" w:firstLine="0" w:firstLineChars="0"/>
        <w:jc w:val="left"/>
        <w:rPr>
          <w:rFonts w:hint="eastAsia" w:ascii="Times New Roman" w:hAnsi="Times New Roman"/>
          <w:sz w:val="24"/>
          <w:szCs w:val="24"/>
          <w:u w:val="single"/>
        </w:rPr>
      </w:pPr>
      <w:r>
        <w:rPr>
          <w:rFonts w:hint="eastAsia" w:ascii="Times New Roman" w:hAnsi="Times New Roman"/>
          <w:sz w:val="24"/>
          <w:szCs w:val="24"/>
        </w:rPr>
        <w:t>单位地址：______________</w:t>
      </w:r>
      <w:r>
        <w:rPr>
          <w:rFonts w:hint="eastAsia" w:ascii="Times New Roman" w:hAnsi="Times New Roman"/>
          <w:sz w:val="24"/>
          <w:szCs w:val="24"/>
          <w:u w:val="single"/>
        </w:rPr>
        <w:t xml:space="preserve">                                        </w:t>
      </w:r>
    </w:p>
    <w:p w14:paraId="47BF117F">
      <w:pPr>
        <w:tabs>
          <w:tab w:val="left" w:pos="360"/>
        </w:tabs>
        <w:spacing w:line="440" w:lineRule="exact"/>
        <w:ind w:left="1200" w:leftChars="600" w:firstLine="0" w:firstLineChars="0"/>
        <w:jc w:val="left"/>
        <w:rPr>
          <w:rFonts w:ascii="Times New Roman" w:hAnsi="Times New Roman"/>
          <w:sz w:val="24"/>
          <w:szCs w:val="24"/>
          <w:u w:val="single"/>
        </w:rPr>
      </w:pPr>
      <w:r>
        <w:rPr>
          <w:rFonts w:hint="eastAsia" w:ascii="Times New Roman" w:hAnsi="Times New Roman"/>
          <w:sz w:val="24"/>
          <w:szCs w:val="24"/>
        </w:rPr>
        <w:t>日期：</w:t>
      </w:r>
      <w:bookmarkStart w:id="219" w:name="_Hlt26955070"/>
      <w:bookmarkEnd w:id="219"/>
      <w:bookmarkStart w:id="220" w:name="_Hlt26671380"/>
      <w:bookmarkEnd w:id="220"/>
      <w:bookmarkStart w:id="221" w:name="_格式3__银行出具的资信证明"/>
      <w:bookmarkEnd w:id="221"/>
      <w:r>
        <w:rPr>
          <w:rFonts w:hint="eastAsia" w:ascii="Times New Roman" w:hAnsi="Times New Roman"/>
          <w:sz w:val="24"/>
          <w:szCs w:val="24"/>
          <w:u w:val="single"/>
        </w:rPr>
        <w:t xml:space="preserve">  </w:t>
      </w:r>
      <w:r>
        <w:rPr>
          <w:rFonts w:hint="eastAsia" w:ascii="Times New Roman" w:hAnsi="Times New Roman"/>
          <w:sz w:val="24"/>
          <w:szCs w:val="24"/>
        </w:rPr>
        <w:t>______________</w:t>
      </w:r>
      <w:r>
        <w:rPr>
          <w:rFonts w:hint="eastAsia" w:ascii="Times New Roman" w:hAnsi="Times New Roman"/>
          <w:sz w:val="24"/>
          <w:szCs w:val="24"/>
          <w:u w:val="single"/>
        </w:rPr>
        <w:t xml:space="preserve">                                       </w:t>
      </w:r>
    </w:p>
    <w:p w14:paraId="6B7EEB0B">
      <w:pPr>
        <w:tabs>
          <w:tab w:val="left" w:pos="360"/>
        </w:tabs>
        <w:ind w:firstLine="480" w:firstLineChars="200"/>
        <w:rPr>
          <w:rFonts w:ascii="Times New Roman" w:hAnsi="Times New Roman"/>
          <w:sz w:val="24"/>
          <w:szCs w:val="24"/>
          <w:u w:val="single"/>
        </w:rPr>
      </w:pPr>
    </w:p>
    <w:p w14:paraId="7362932D">
      <w:pPr>
        <w:tabs>
          <w:tab w:val="left" w:pos="360"/>
        </w:tabs>
        <w:ind w:firstLine="480" w:firstLineChars="200"/>
        <w:rPr>
          <w:rFonts w:hint="eastAsia" w:ascii="Times New Roman" w:hAnsi="Times New Roman"/>
          <w:sz w:val="24"/>
          <w:szCs w:val="24"/>
        </w:rPr>
      </w:pPr>
    </w:p>
    <w:p w14:paraId="001E0BDF">
      <w:pPr>
        <w:ind w:firstLine="420"/>
        <w:rPr>
          <w:rFonts w:hint="eastAsia" w:ascii="Times New Roman" w:hAnsi="Times New Roman"/>
          <w:i/>
          <w:sz w:val="24"/>
          <w:szCs w:val="24"/>
          <w:u w:val="single"/>
        </w:rPr>
      </w:pPr>
    </w:p>
    <w:p w14:paraId="1B7A6347">
      <w:pPr>
        <w:rPr>
          <w:rFonts w:hint="eastAsia" w:ascii="Times New Roman" w:hAnsi="Times New Roman"/>
          <w:sz w:val="24"/>
          <w:szCs w:val="24"/>
        </w:rPr>
      </w:pPr>
    </w:p>
    <w:p w14:paraId="2965D27F">
      <w:pPr>
        <w:keepNext/>
        <w:keepLines/>
        <w:spacing w:before="260" w:after="260" w:line="440" w:lineRule="exact"/>
        <w:ind w:firstLine="3378" w:firstLineChars="1407"/>
        <w:outlineLvl w:val="1"/>
        <w:rPr>
          <w:rFonts w:ascii="黑体" w:hAnsi="黑体" w:eastAsia="黑体"/>
          <w:b/>
          <w:i/>
          <w:sz w:val="24"/>
          <w:szCs w:val="24"/>
          <w:u w:val="single"/>
        </w:rPr>
      </w:pPr>
      <w:r>
        <w:rPr>
          <w:rFonts w:ascii="宋体" w:hAnsi="宋体" w:eastAsia="幼圆" w:cs="Arial"/>
          <w:b/>
          <w:sz w:val="24"/>
          <w:szCs w:val="24"/>
        </w:rPr>
        <w:br w:type="page"/>
      </w:r>
      <w:r>
        <w:rPr>
          <w:rFonts w:hint="eastAsia" w:ascii="黑体" w:hAnsi="黑体" w:eastAsia="黑体" w:cs="Arial"/>
          <w:b/>
          <w:i/>
          <w:sz w:val="32"/>
          <w:szCs w:val="32"/>
          <w:u w:val="single"/>
        </w:rPr>
        <w:t>八、</w:t>
      </w:r>
      <w:r>
        <w:rPr>
          <w:rFonts w:hint="eastAsia" w:ascii="黑体" w:hAnsi="黑体" w:eastAsia="黑体"/>
          <w:b/>
          <w:i/>
          <w:sz w:val="32"/>
          <w:szCs w:val="32"/>
          <w:u w:val="single"/>
        </w:rPr>
        <w:t>磋商响应函</w:t>
      </w:r>
    </w:p>
    <w:p w14:paraId="2ED45379">
      <w:pPr>
        <w:adjustRightInd w:val="0"/>
        <w:spacing w:line="440" w:lineRule="exact"/>
        <w:jc w:val="left"/>
        <w:textAlignment w:val="baseline"/>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lang w:val="en-US" w:eastAsia="zh-CN"/>
        </w:rPr>
        <w:t>镇江晟科工程管理咨询有限公司</w:t>
      </w:r>
    </w:p>
    <w:p w14:paraId="4166B2A1">
      <w:pPr>
        <w:adjustRightInd w:val="0"/>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根据贵方的</w:t>
      </w:r>
      <w:r>
        <w:rPr>
          <w:rFonts w:hint="eastAsia" w:ascii="Times New Roman" w:hAnsi="Times New Roman"/>
          <w:sz w:val="24"/>
          <w:szCs w:val="24"/>
          <w:u w:val="single"/>
          <w:lang w:eastAsia="zh-CN"/>
        </w:rPr>
        <w:t>JSZC-321182-ZJSK-C2024-0003</w:t>
      </w:r>
      <w:r>
        <w:rPr>
          <w:rFonts w:hint="eastAsia" w:ascii="宋体" w:hAnsi="宋体"/>
          <w:sz w:val="24"/>
          <w:szCs w:val="24"/>
        </w:rPr>
        <w:t>号磋商文件，正式授权下述签字人______(姓名)代表我方_________________（供应商的名称），全权处理本次项目磋商的有关事宜。</w:t>
      </w:r>
    </w:p>
    <w:p w14:paraId="382A376F">
      <w:pPr>
        <w:adjustRightInd w:val="0"/>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据此函，__________签字人兹宣布同意如下：</w:t>
      </w:r>
    </w:p>
    <w:p w14:paraId="37A380B5">
      <w:pPr>
        <w:adjustRightInd w:val="0"/>
        <w:spacing w:line="440" w:lineRule="exact"/>
        <w:ind w:firstLine="480"/>
        <w:jc w:val="left"/>
        <w:textAlignment w:val="baseline"/>
        <w:rPr>
          <w:rFonts w:hint="eastAsia" w:ascii="宋体" w:hAnsi="宋体"/>
          <w:sz w:val="24"/>
          <w:szCs w:val="24"/>
        </w:rPr>
      </w:pPr>
      <w:r>
        <w:rPr>
          <w:rFonts w:hint="eastAsia" w:ascii="宋体" w:hAnsi="宋体"/>
          <w:sz w:val="24"/>
          <w:szCs w:val="24"/>
        </w:rPr>
        <w:t>1.按磋商文件规定的各项要求，向买方提供所需货物、服务（包含与货物相关的服务及与服务相关的货物）。</w:t>
      </w:r>
    </w:p>
    <w:p w14:paraId="4CF4B46A">
      <w:pPr>
        <w:adjustRightInd w:val="0"/>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2.我们完全理解贵方不一定将合同授予最低报价的供应商。</w:t>
      </w:r>
    </w:p>
    <w:p w14:paraId="2A628F68">
      <w:pPr>
        <w:adjustRightInd w:val="0"/>
        <w:spacing w:line="440" w:lineRule="exact"/>
        <w:ind w:firstLine="480" w:firstLineChars="200"/>
        <w:jc w:val="left"/>
        <w:textAlignment w:val="baseline"/>
        <w:rPr>
          <w:rFonts w:hint="eastAsia" w:ascii="宋体" w:hAnsi="宋体"/>
          <w:sz w:val="24"/>
          <w:szCs w:val="24"/>
        </w:rPr>
      </w:pPr>
      <w:r>
        <w:rPr>
          <w:rFonts w:hint="eastAsia" w:ascii="宋体" w:hAnsi="宋体"/>
          <w:sz w:val="24"/>
          <w:szCs w:val="24"/>
        </w:rPr>
        <w:t>3.我们已详细审核全部磋商文件及其有效补充文件，我们知道必须放弃提出含糊不清或误解问题的权利。</w:t>
      </w:r>
    </w:p>
    <w:p w14:paraId="0F317F98">
      <w:pPr>
        <w:adjustRightInd w:val="0"/>
        <w:spacing w:line="440" w:lineRule="exact"/>
        <w:ind w:firstLine="480"/>
        <w:jc w:val="left"/>
        <w:textAlignment w:val="baseline"/>
        <w:rPr>
          <w:rFonts w:hint="eastAsia" w:ascii="宋体" w:hAnsi="宋体"/>
          <w:sz w:val="24"/>
          <w:szCs w:val="24"/>
        </w:rPr>
      </w:pPr>
      <w:r>
        <w:rPr>
          <w:rFonts w:hint="eastAsia" w:ascii="宋体" w:hAnsi="宋体"/>
          <w:sz w:val="24"/>
          <w:szCs w:val="24"/>
        </w:rPr>
        <w:t>4.我们同意从规定的开标日期起遵循本响应文件，并在规定的磋商有效期期满之前均具有约束力。</w:t>
      </w:r>
    </w:p>
    <w:p w14:paraId="2844CF63">
      <w:pPr>
        <w:adjustRightInd w:val="0"/>
        <w:spacing w:line="440" w:lineRule="exact"/>
        <w:ind w:firstLine="480"/>
        <w:jc w:val="left"/>
        <w:textAlignment w:val="baseline"/>
        <w:rPr>
          <w:rFonts w:hint="eastAsia" w:ascii="宋体" w:hAnsi="宋体"/>
          <w:sz w:val="24"/>
          <w:szCs w:val="24"/>
        </w:rPr>
      </w:pPr>
      <w:r>
        <w:rPr>
          <w:rFonts w:ascii="宋体" w:hAnsi="宋体"/>
          <w:sz w:val="24"/>
          <w:szCs w:val="24"/>
        </w:rPr>
        <w:t>5</w:t>
      </w:r>
      <w:r>
        <w:rPr>
          <w:rFonts w:hint="eastAsia" w:ascii="宋体" w:hAnsi="宋体"/>
          <w:sz w:val="24"/>
          <w:szCs w:val="24"/>
        </w:rPr>
        <w:t>.同意向贵方提供贵方可能另外要求的与磋商有关的任何证据或资料，并保证我方已提供和将要提供的文件是真实的、准确的。</w:t>
      </w:r>
    </w:p>
    <w:p w14:paraId="75DA7759">
      <w:pPr>
        <w:adjustRightInd w:val="0"/>
        <w:spacing w:line="440" w:lineRule="exact"/>
        <w:ind w:firstLine="480"/>
        <w:jc w:val="left"/>
        <w:textAlignment w:val="baseline"/>
        <w:rPr>
          <w:rFonts w:hint="eastAsia" w:ascii="宋体" w:hAnsi="宋体"/>
          <w:sz w:val="24"/>
          <w:szCs w:val="24"/>
        </w:rPr>
      </w:pPr>
      <w:r>
        <w:rPr>
          <w:rFonts w:ascii="宋体" w:hAnsi="宋体"/>
          <w:sz w:val="24"/>
          <w:szCs w:val="24"/>
        </w:rPr>
        <w:t>6</w:t>
      </w:r>
      <w:r>
        <w:rPr>
          <w:rFonts w:hint="eastAsia" w:ascii="宋体" w:hAnsi="宋体"/>
          <w:sz w:val="24"/>
          <w:szCs w:val="24"/>
        </w:rPr>
        <w:t>.一旦我方成交,我方将根据磋商文件的规定，严格履行合同的责任和义务,并保证在磋商文件规定的时间完成项目，交付买方验收、使用。</w:t>
      </w:r>
    </w:p>
    <w:p w14:paraId="10064310">
      <w:pPr>
        <w:adjustRightInd w:val="0"/>
        <w:spacing w:line="440" w:lineRule="exact"/>
        <w:ind w:firstLine="480"/>
        <w:jc w:val="left"/>
        <w:textAlignment w:val="baseline"/>
        <w:rPr>
          <w:rFonts w:hint="eastAsia" w:ascii="宋体" w:hAnsi="宋体"/>
          <w:sz w:val="24"/>
          <w:szCs w:val="24"/>
        </w:rPr>
      </w:pPr>
      <w:r>
        <w:rPr>
          <w:rFonts w:hint="eastAsia" w:ascii="宋体" w:hAnsi="宋体"/>
          <w:sz w:val="24"/>
          <w:szCs w:val="24"/>
        </w:rPr>
        <w:t>7.我公司郑重声明：参加本次政府采购活动前三年内，在经营活动中没有重大违法记录。</w:t>
      </w:r>
    </w:p>
    <w:p w14:paraId="6260073E">
      <w:pPr>
        <w:adjustRightInd w:val="0"/>
        <w:spacing w:line="440" w:lineRule="exact"/>
        <w:ind w:left="425"/>
        <w:jc w:val="left"/>
        <w:textAlignment w:val="baseline"/>
        <w:rPr>
          <w:rFonts w:hint="eastAsia" w:ascii="宋体" w:hAnsi="宋体"/>
          <w:sz w:val="24"/>
          <w:szCs w:val="24"/>
        </w:rPr>
      </w:pPr>
      <w:r>
        <w:rPr>
          <w:rFonts w:hint="eastAsia" w:ascii="宋体" w:hAnsi="宋体"/>
          <w:sz w:val="24"/>
          <w:szCs w:val="24"/>
        </w:rPr>
        <w:t>8.我方与本磋商有关的正式通讯地址为：</w:t>
      </w:r>
    </w:p>
    <w:p w14:paraId="639C31FE">
      <w:pPr>
        <w:adjustRightInd w:val="0"/>
        <w:spacing w:line="440" w:lineRule="exact"/>
        <w:ind w:left="400" w:leftChars="200" w:firstLine="480" w:firstLineChars="200"/>
        <w:jc w:val="left"/>
        <w:textAlignment w:val="baseline"/>
        <w:rPr>
          <w:rFonts w:hint="eastAsia" w:ascii="宋体" w:hAnsi="宋体"/>
          <w:sz w:val="24"/>
          <w:szCs w:val="24"/>
        </w:rPr>
      </w:pPr>
      <w:r>
        <w:rPr>
          <w:rFonts w:hint="eastAsia" w:ascii="宋体" w:hAnsi="宋体"/>
          <w:sz w:val="24"/>
          <w:szCs w:val="24"/>
        </w:rPr>
        <w:t>地          址：</w:t>
      </w:r>
    </w:p>
    <w:p w14:paraId="0340FC23">
      <w:pPr>
        <w:adjustRightInd w:val="0"/>
        <w:spacing w:line="440" w:lineRule="exact"/>
        <w:ind w:left="400" w:leftChars="200" w:firstLine="480" w:firstLineChars="200"/>
        <w:jc w:val="left"/>
        <w:textAlignment w:val="baseline"/>
        <w:rPr>
          <w:rFonts w:hint="eastAsia" w:ascii="宋体" w:hAnsi="宋体"/>
          <w:sz w:val="24"/>
          <w:szCs w:val="24"/>
        </w:rPr>
      </w:pPr>
      <w:r>
        <w:rPr>
          <w:rFonts w:hint="eastAsia" w:ascii="宋体" w:hAnsi="宋体"/>
          <w:sz w:val="24"/>
          <w:szCs w:val="24"/>
        </w:rPr>
        <w:t>邮          编：</w:t>
      </w:r>
    </w:p>
    <w:p w14:paraId="0F4510C6">
      <w:pPr>
        <w:adjustRightInd w:val="0"/>
        <w:spacing w:line="440" w:lineRule="exact"/>
        <w:ind w:left="400" w:leftChars="200" w:firstLine="480" w:firstLineChars="200"/>
        <w:jc w:val="left"/>
        <w:textAlignment w:val="baseline"/>
        <w:rPr>
          <w:rFonts w:hint="eastAsia" w:ascii="宋体" w:hAnsi="宋体"/>
          <w:sz w:val="24"/>
          <w:szCs w:val="24"/>
        </w:rPr>
      </w:pPr>
      <w:r>
        <w:rPr>
          <w:rFonts w:hint="eastAsia" w:ascii="宋体" w:hAnsi="宋体"/>
          <w:sz w:val="24"/>
          <w:szCs w:val="24"/>
        </w:rPr>
        <w:t>电          话：</w:t>
      </w:r>
    </w:p>
    <w:p w14:paraId="25E33DA8">
      <w:pPr>
        <w:adjustRightInd w:val="0"/>
        <w:spacing w:line="440" w:lineRule="exact"/>
        <w:ind w:left="400" w:leftChars="200" w:firstLine="480" w:firstLineChars="200"/>
        <w:jc w:val="left"/>
        <w:textAlignment w:val="baseline"/>
        <w:rPr>
          <w:rFonts w:hint="eastAsia" w:ascii="宋体" w:hAnsi="宋体"/>
          <w:sz w:val="24"/>
          <w:szCs w:val="24"/>
        </w:rPr>
      </w:pPr>
      <w:r>
        <w:rPr>
          <w:rFonts w:hint="eastAsia" w:ascii="宋体" w:hAnsi="宋体"/>
          <w:sz w:val="24"/>
          <w:szCs w:val="24"/>
        </w:rPr>
        <w:t>传          真：</w:t>
      </w:r>
    </w:p>
    <w:p w14:paraId="1B1EE562">
      <w:pPr>
        <w:adjustRightInd w:val="0"/>
        <w:spacing w:line="440" w:lineRule="exact"/>
        <w:ind w:left="400" w:leftChars="200" w:firstLine="480" w:firstLineChars="200"/>
        <w:jc w:val="left"/>
        <w:textAlignment w:val="baseline"/>
        <w:rPr>
          <w:rFonts w:hint="eastAsia" w:ascii="宋体" w:hAnsi="宋体"/>
          <w:sz w:val="24"/>
          <w:szCs w:val="24"/>
        </w:rPr>
      </w:pPr>
      <w:r>
        <w:rPr>
          <w:rFonts w:hint="eastAsia" w:ascii="宋体" w:hAnsi="宋体"/>
          <w:sz w:val="24"/>
          <w:szCs w:val="24"/>
        </w:rPr>
        <w:t>供应商开户行：</w:t>
      </w:r>
    </w:p>
    <w:p w14:paraId="78EE80CF">
      <w:pPr>
        <w:adjustRightInd w:val="0"/>
        <w:spacing w:line="440" w:lineRule="exact"/>
        <w:ind w:left="400" w:leftChars="200" w:firstLine="480" w:firstLineChars="200"/>
        <w:jc w:val="left"/>
        <w:textAlignment w:val="baseline"/>
        <w:rPr>
          <w:rFonts w:hint="eastAsia" w:ascii="宋体" w:hAnsi="宋体"/>
          <w:sz w:val="24"/>
          <w:szCs w:val="24"/>
        </w:rPr>
      </w:pPr>
      <w:r>
        <w:rPr>
          <w:rFonts w:hint="eastAsia" w:ascii="宋体" w:hAnsi="宋体"/>
          <w:sz w:val="24"/>
          <w:szCs w:val="24"/>
        </w:rPr>
        <w:t xml:space="preserve">账          号： </w:t>
      </w:r>
    </w:p>
    <w:p w14:paraId="6BA58C84">
      <w:pPr>
        <w:adjustRightInd w:val="0"/>
        <w:spacing w:line="440" w:lineRule="exact"/>
        <w:ind w:left="400" w:leftChars="200" w:firstLine="480" w:firstLineChars="200"/>
        <w:jc w:val="left"/>
        <w:textAlignment w:val="baseline"/>
        <w:rPr>
          <w:rFonts w:hint="eastAsia" w:ascii="宋体" w:hAnsi="宋体"/>
          <w:sz w:val="24"/>
          <w:szCs w:val="24"/>
        </w:rPr>
      </w:pPr>
      <w:r>
        <w:rPr>
          <w:rFonts w:hint="eastAsia" w:ascii="宋体" w:hAnsi="宋体"/>
          <w:sz w:val="24"/>
          <w:szCs w:val="24"/>
        </w:rPr>
        <w:t>日          期：________年____月____日</w:t>
      </w:r>
    </w:p>
    <w:p w14:paraId="0AC39F34">
      <w:pPr>
        <w:spacing w:line="440" w:lineRule="exact"/>
        <w:ind w:firstLine="240" w:firstLineChars="100"/>
        <w:jc w:val="center"/>
        <w:rPr>
          <w:rFonts w:hint="eastAsia" w:ascii="宋体" w:hAnsi="宋体"/>
          <w:bCs/>
          <w:sz w:val="24"/>
          <w:szCs w:val="24"/>
        </w:rPr>
      </w:pPr>
    </w:p>
    <w:p w14:paraId="545291DB">
      <w:pPr>
        <w:spacing w:line="440" w:lineRule="exact"/>
        <w:ind w:firstLine="240" w:firstLineChars="100"/>
        <w:jc w:val="center"/>
        <w:rPr>
          <w:rFonts w:hint="eastAsia" w:ascii="宋体" w:hAnsi="宋体"/>
          <w:bCs/>
          <w:sz w:val="24"/>
          <w:szCs w:val="24"/>
        </w:rPr>
      </w:pPr>
    </w:p>
    <w:p w14:paraId="1D35385D">
      <w:pPr>
        <w:spacing w:line="440" w:lineRule="exact"/>
        <w:rPr>
          <w:rFonts w:hint="eastAsia" w:ascii="黑体" w:hAnsi="黑体" w:eastAsia="黑体"/>
          <w:b/>
          <w:sz w:val="24"/>
          <w:szCs w:val="24"/>
        </w:rPr>
      </w:pPr>
    </w:p>
    <w:p w14:paraId="1713E026">
      <w:pPr>
        <w:numPr>
          <w:ilvl w:val="0"/>
          <w:numId w:val="0"/>
        </w:numPr>
        <w:spacing w:line="440" w:lineRule="exact"/>
        <w:ind w:left="0" w:leftChars="0" w:firstLine="0" w:firstLineChars="0"/>
        <w:jc w:val="center"/>
        <w:rPr>
          <w:rFonts w:hint="eastAsia" w:ascii="黑体" w:hAnsi="黑体" w:eastAsia="黑体"/>
          <w:b/>
          <w:sz w:val="32"/>
          <w:szCs w:val="32"/>
        </w:rPr>
      </w:pPr>
      <w:r>
        <w:rPr>
          <w:rFonts w:hint="eastAsia" w:ascii="黑体" w:hAnsi="黑体" w:eastAsia="黑体"/>
          <w:b/>
          <w:sz w:val="32"/>
          <w:szCs w:val="32"/>
          <w:lang w:val="en-US" w:eastAsia="zh-CN"/>
        </w:rPr>
        <w:t>九、</w:t>
      </w:r>
      <w:r>
        <w:rPr>
          <w:rFonts w:hint="eastAsia" w:ascii="黑体" w:hAnsi="黑体" w:eastAsia="黑体"/>
          <w:b/>
          <w:sz w:val="32"/>
          <w:szCs w:val="32"/>
        </w:rPr>
        <w:t>中小企业声明函（服务）</w:t>
      </w:r>
    </w:p>
    <w:p w14:paraId="2101EF86">
      <w:pPr>
        <w:spacing w:line="440" w:lineRule="exact"/>
        <w:ind w:left="560"/>
        <w:rPr>
          <w:rFonts w:hint="eastAsia" w:ascii="黑体" w:hAnsi="黑体" w:eastAsia="黑体"/>
          <w:b/>
          <w:sz w:val="32"/>
          <w:szCs w:val="32"/>
        </w:rPr>
      </w:pPr>
    </w:p>
    <w:p w14:paraId="451C6D5B">
      <w:pPr>
        <w:spacing w:line="440" w:lineRule="exact"/>
        <w:ind w:firstLine="360" w:firstLineChars="150"/>
        <w:rPr>
          <w:rFonts w:hint="eastAsia" w:ascii="宋体" w:hAnsi="宋体"/>
          <w:sz w:val="24"/>
          <w:szCs w:val="24"/>
        </w:rPr>
      </w:pPr>
      <w:r>
        <w:rPr>
          <w:rFonts w:hint="eastAsia" w:ascii="宋体" w:hAnsi="宋体"/>
          <w:sz w:val="24"/>
          <w:szCs w:val="24"/>
        </w:rPr>
        <w:t>本公司（联合体）郑重声明，根据《政府采购促进中小企业发展管理办法》(财库[2020]46号)的规定，本公司（联合体）参加</w:t>
      </w:r>
      <w:r>
        <w:rPr>
          <w:rFonts w:hint="eastAsia" w:ascii="宋体" w:hAnsi="宋体"/>
          <w:sz w:val="24"/>
          <w:szCs w:val="24"/>
          <w:u w:val="single"/>
          <w:lang w:eastAsia="zh-CN"/>
        </w:rPr>
        <w:t>扬中市西来桥镇人民政府</w:t>
      </w:r>
      <w:r>
        <w:rPr>
          <w:rFonts w:hint="eastAsia" w:ascii="宋体" w:hAnsi="宋体"/>
          <w:sz w:val="24"/>
          <w:szCs w:val="24"/>
        </w:rPr>
        <w:t>采购编号为</w:t>
      </w:r>
      <w:r>
        <w:rPr>
          <w:rFonts w:hint="eastAsia" w:ascii="宋体" w:hAnsi="宋体"/>
          <w:sz w:val="24"/>
          <w:szCs w:val="24"/>
          <w:u w:val="single"/>
          <w:lang w:eastAsia="zh-CN"/>
        </w:rPr>
        <w:t>JSZC-321182-ZJSK-</w:t>
      </w:r>
      <w:r>
        <w:rPr>
          <w:rFonts w:hint="eastAsia" w:ascii="宋体" w:hAnsi="宋体"/>
          <w:sz w:val="24"/>
          <w:szCs w:val="24"/>
          <w:u w:val="single"/>
          <w:lang w:val="en-US" w:eastAsia="zh-CN"/>
        </w:rPr>
        <w:t>C</w:t>
      </w:r>
      <w:r>
        <w:rPr>
          <w:rFonts w:hint="eastAsia" w:ascii="宋体" w:hAnsi="宋体"/>
          <w:sz w:val="24"/>
          <w:szCs w:val="24"/>
          <w:u w:val="single"/>
          <w:lang w:eastAsia="zh-CN"/>
        </w:rPr>
        <w:t>2024-0003</w:t>
      </w:r>
      <w:r>
        <w:rPr>
          <w:rFonts w:hint="eastAsia" w:ascii="宋体" w:hAnsi="宋体"/>
          <w:sz w:val="24"/>
          <w:szCs w:val="24"/>
          <w:u w:val="single"/>
        </w:rPr>
        <w:t>，</w:t>
      </w:r>
      <w:r>
        <w:rPr>
          <w:rFonts w:hint="eastAsia" w:ascii="宋体" w:hAnsi="宋体"/>
          <w:color w:val="000000"/>
          <w:sz w:val="24"/>
          <w:szCs w:val="24"/>
          <w:highlight w:val="none"/>
          <w:u w:val="single"/>
          <w:lang w:eastAsia="zh-CN"/>
        </w:rPr>
        <w:t>扬中市西来桥镇垃圾收运市场化运作项目服务项目</w:t>
      </w:r>
      <w:r>
        <w:rPr>
          <w:rFonts w:hint="eastAsia" w:ascii="宋体" w:hAnsi="宋体"/>
          <w:sz w:val="24"/>
          <w:szCs w:val="24"/>
        </w:rPr>
        <w:t>的采购活动，服务全部由符合政策的中小企业承接。根据《工业和信息化部、国家统计局、国家发展和改革委员会、财政部关于印发中小企业划型标准规定的通知》(工信部联企业[2011]300号)的规定，相关企业（含联合体中的中小企业、签订分包意向协议的中小企业）的具体情况如下：</w:t>
      </w:r>
    </w:p>
    <w:p w14:paraId="681B187A">
      <w:pPr>
        <w:spacing w:line="440" w:lineRule="exact"/>
        <w:ind w:firstLine="360" w:firstLineChars="150"/>
        <w:rPr>
          <w:rFonts w:hint="eastAsia" w:ascii="宋体" w:hAnsi="宋体"/>
          <w:sz w:val="24"/>
          <w:szCs w:val="24"/>
          <w:u w:val="single"/>
        </w:rPr>
      </w:pPr>
      <w:r>
        <w:rPr>
          <w:rFonts w:hint="eastAsia" w:ascii="宋体" w:hAnsi="宋体"/>
          <w:sz w:val="24"/>
          <w:szCs w:val="24"/>
        </w:rPr>
        <w:t>1.</w:t>
      </w:r>
      <w:r>
        <w:rPr>
          <w:rFonts w:hint="eastAsia" w:ascii="宋体" w:hAnsi="宋体"/>
          <w:sz w:val="24"/>
          <w:szCs w:val="24"/>
          <w:u w:val="single"/>
        </w:rPr>
        <w:t>（标的名称）</w:t>
      </w:r>
      <w:r>
        <w:rPr>
          <w:rFonts w:hint="eastAsia" w:ascii="宋体" w:hAnsi="宋体"/>
          <w:i/>
          <w:sz w:val="24"/>
          <w:szCs w:val="24"/>
        </w:rPr>
        <w:t>，</w:t>
      </w:r>
      <w:r>
        <w:rPr>
          <w:rFonts w:hint="eastAsia" w:ascii="宋体" w:hAnsi="宋体"/>
          <w:sz w:val="24"/>
          <w:szCs w:val="24"/>
        </w:rPr>
        <w:t>属于</w:t>
      </w:r>
      <w:r>
        <w:rPr>
          <w:rFonts w:hint="eastAsia" w:ascii="宋体" w:hAnsi="宋体"/>
          <w:sz w:val="24"/>
          <w:szCs w:val="24"/>
          <w:u w:val="single"/>
        </w:rPr>
        <w:t xml:space="preserve">       </w:t>
      </w:r>
      <w:r>
        <w:rPr>
          <w:rFonts w:hint="eastAsia" w:ascii="宋体" w:hAnsi="宋体"/>
          <w:sz w:val="24"/>
          <w:szCs w:val="24"/>
        </w:rPr>
        <w:t>行业；承接企业为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（中型企业、小型企业、微型企业）；</w:t>
      </w:r>
    </w:p>
    <w:p w14:paraId="125221AE">
      <w:pPr>
        <w:spacing w:line="440" w:lineRule="exact"/>
        <w:ind w:firstLine="360" w:firstLineChars="150"/>
        <w:rPr>
          <w:rFonts w:hint="eastAsia" w:ascii="宋体" w:hAnsi="宋体"/>
          <w:i/>
          <w:sz w:val="24"/>
          <w:szCs w:val="24"/>
          <w:u w:val="single"/>
        </w:rPr>
      </w:pPr>
      <w:r>
        <w:rPr>
          <w:rFonts w:hint="eastAsia" w:ascii="宋体" w:hAnsi="宋体"/>
          <w:sz w:val="24"/>
          <w:szCs w:val="24"/>
        </w:rPr>
        <w:t>2.</w:t>
      </w:r>
      <w:r>
        <w:rPr>
          <w:rFonts w:hint="eastAsia" w:ascii="宋体" w:hAnsi="宋体"/>
          <w:sz w:val="24"/>
          <w:szCs w:val="24"/>
          <w:u w:val="single"/>
        </w:rPr>
        <w:t>（标的名称）</w:t>
      </w:r>
      <w:r>
        <w:rPr>
          <w:rFonts w:hint="eastAsia" w:ascii="宋体" w:hAnsi="宋体"/>
          <w:i/>
          <w:sz w:val="24"/>
          <w:szCs w:val="24"/>
        </w:rPr>
        <w:t>，</w:t>
      </w:r>
      <w:r>
        <w:rPr>
          <w:rFonts w:hint="eastAsia" w:ascii="宋体" w:hAnsi="宋体"/>
          <w:sz w:val="24"/>
          <w:szCs w:val="24"/>
        </w:rPr>
        <w:t>属于</w:t>
      </w:r>
      <w:r>
        <w:rPr>
          <w:rFonts w:hint="eastAsia" w:ascii="宋体" w:hAnsi="宋体"/>
          <w:sz w:val="24"/>
          <w:szCs w:val="24"/>
          <w:u w:val="single"/>
        </w:rPr>
        <w:t xml:space="preserve">       </w:t>
      </w:r>
      <w:r>
        <w:rPr>
          <w:rFonts w:hint="eastAsia" w:ascii="宋体" w:hAnsi="宋体"/>
          <w:sz w:val="24"/>
          <w:szCs w:val="24"/>
        </w:rPr>
        <w:t>行业；承接企业为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w:t>
      </w:r>
      <w:r>
        <w:rPr>
          <w:rFonts w:ascii="宋体" w:hAnsi="宋体"/>
          <w:color w:val="000000"/>
          <w:sz w:val="24"/>
          <w:szCs w:val="24"/>
          <w:u w:val="single"/>
        </w:rPr>
        <w:t>中型企业、</w:t>
      </w:r>
      <w:r>
        <w:rPr>
          <w:rFonts w:hint="eastAsia" w:ascii="宋体" w:hAnsi="宋体"/>
          <w:sz w:val="24"/>
          <w:szCs w:val="24"/>
          <w:u w:val="single"/>
        </w:rPr>
        <w:t>小型企业、微型企业）；</w:t>
      </w:r>
    </w:p>
    <w:p w14:paraId="7EB7F4AA">
      <w:pPr>
        <w:spacing w:line="440" w:lineRule="exact"/>
        <w:ind w:firstLine="360" w:firstLineChars="150"/>
        <w:rPr>
          <w:rFonts w:hint="eastAsia" w:ascii="宋体" w:hAnsi="宋体"/>
          <w:sz w:val="24"/>
          <w:szCs w:val="24"/>
        </w:rPr>
      </w:pPr>
      <w:r>
        <w:rPr>
          <w:rFonts w:hint="eastAsia" w:ascii="宋体" w:hAnsi="宋体"/>
          <w:sz w:val="24"/>
          <w:szCs w:val="24"/>
        </w:rPr>
        <w:t>……</w:t>
      </w:r>
    </w:p>
    <w:p w14:paraId="415E82A7">
      <w:pPr>
        <w:spacing w:line="440" w:lineRule="exact"/>
        <w:ind w:firstLine="360" w:firstLineChars="150"/>
        <w:rPr>
          <w:rFonts w:hint="eastAsia"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14:paraId="7C0D92B5">
      <w:pPr>
        <w:spacing w:line="440" w:lineRule="exact"/>
        <w:ind w:firstLine="360" w:firstLineChars="150"/>
        <w:rPr>
          <w:rFonts w:hint="eastAsia" w:ascii="宋体" w:hAnsi="宋体"/>
          <w:sz w:val="24"/>
          <w:szCs w:val="24"/>
        </w:rPr>
      </w:pPr>
      <w:r>
        <w:rPr>
          <w:rFonts w:hint="eastAsia" w:ascii="宋体" w:hAnsi="宋体"/>
          <w:sz w:val="24"/>
          <w:szCs w:val="24"/>
        </w:rPr>
        <w:t>本企业对上述声明内容的真实性负责。如有虚假，将依法承担相应责任。</w:t>
      </w:r>
    </w:p>
    <w:p w14:paraId="0CC4F842">
      <w:pPr>
        <w:spacing w:line="440" w:lineRule="exact"/>
        <w:ind w:right="720"/>
        <w:rPr>
          <w:rFonts w:hint="eastAsia" w:ascii="宋体" w:hAnsi="宋体"/>
          <w:sz w:val="24"/>
          <w:szCs w:val="24"/>
        </w:rPr>
      </w:pPr>
    </w:p>
    <w:p w14:paraId="3B2C58F1">
      <w:pPr>
        <w:spacing w:line="440" w:lineRule="exact"/>
        <w:ind w:right="180" w:firstLine="360" w:firstLineChars="150"/>
        <w:jc w:val="right"/>
        <w:rPr>
          <w:rFonts w:hint="eastAsia" w:ascii="宋体" w:hAnsi="宋体"/>
          <w:sz w:val="24"/>
          <w:szCs w:val="24"/>
        </w:rPr>
      </w:pPr>
      <w:r>
        <w:rPr>
          <w:rFonts w:hint="eastAsia" w:ascii="宋体" w:hAnsi="宋体"/>
          <w:sz w:val="24"/>
          <w:szCs w:val="24"/>
        </w:rPr>
        <w:t>企业名称（加盖CA电子公章）：</w:t>
      </w:r>
    </w:p>
    <w:p w14:paraId="7EC520C5">
      <w:pPr>
        <w:spacing w:line="440" w:lineRule="exact"/>
        <w:ind w:right="480" w:firstLine="5400" w:firstLineChars="2250"/>
        <w:rPr>
          <w:rFonts w:hint="eastAsia" w:ascii="宋体" w:hAnsi="宋体"/>
          <w:sz w:val="24"/>
          <w:szCs w:val="24"/>
        </w:rPr>
      </w:pPr>
      <w:r>
        <w:rPr>
          <w:rFonts w:hint="eastAsia" w:ascii="宋体" w:hAnsi="宋体"/>
          <w:sz w:val="24"/>
          <w:szCs w:val="24"/>
        </w:rPr>
        <w:t>日  期：</w:t>
      </w:r>
    </w:p>
    <w:p w14:paraId="2F93B6B8">
      <w:pPr>
        <w:spacing w:line="440" w:lineRule="exact"/>
        <w:ind w:firstLine="480" w:firstLineChars="200"/>
        <w:rPr>
          <w:rFonts w:hint="eastAsia" w:ascii="宋体" w:hAnsi="宋体"/>
          <w:sz w:val="24"/>
          <w:szCs w:val="24"/>
        </w:rPr>
      </w:pPr>
      <w:r>
        <w:rPr>
          <w:rFonts w:hint="eastAsia" w:ascii="宋体" w:hAnsi="宋体"/>
          <w:sz w:val="24"/>
          <w:szCs w:val="24"/>
        </w:rPr>
        <w:t>备注1：从业人员、营业收入、资产总额填报上一年度数据，无上一年度数据的新成立企业可不填报。</w:t>
      </w:r>
    </w:p>
    <w:p w14:paraId="7BB95001">
      <w:pPr>
        <w:spacing w:line="440" w:lineRule="exact"/>
        <w:ind w:firstLine="480" w:firstLineChars="200"/>
        <w:rPr>
          <w:rFonts w:hint="eastAsia" w:ascii="宋体" w:hAnsi="宋体"/>
          <w:sz w:val="24"/>
          <w:szCs w:val="24"/>
        </w:rPr>
      </w:pPr>
      <w:r>
        <w:rPr>
          <w:rFonts w:hint="eastAsia" w:ascii="宋体" w:hAnsi="宋体"/>
          <w:sz w:val="24"/>
          <w:szCs w:val="24"/>
        </w:rPr>
        <w:t>备注2：供应商如不提供此声明函，价格将不做相应扣除。</w:t>
      </w:r>
    </w:p>
    <w:p w14:paraId="1AFA29E8">
      <w:pPr>
        <w:numPr>
          <w:ilvl w:val="0"/>
          <w:numId w:val="0"/>
        </w:numPr>
        <w:spacing w:line="440" w:lineRule="exact"/>
        <w:ind w:left="0" w:leftChars="0" w:firstLine="0" w:firstLineChars="0"/>
        <w:jc w:val="center"/>
        <w:rPr>
          <w:rFonts w:hint="eastAsia" w:ascii="黑体" w:hAnsi="黑体" w:eastAsia="黑体"/>
          <w:b/>
          <w:sz w:val="32"/>
          <w:szCs w:val="32"/>
        </w:rPr>
      </w:pPr>
      <w:r>
        <w:rPr>
          <w:rFonts w:ascii="黑体" w:hAnsi="黑体" w:eastAsia="黑体"/>
          <w:b/>
          <w:sz w:val="24"/>
          <w:szCs w:val="24"/>
        </w:rPr>
        <w:br w:type="page"/>
      </w:r>
      <w:r>
        <w:rPr>
          <w:rFonts w:hint="eastAsia" w:ascii="黑体" w:hAnsi="黑体" w:eastAsia="黑体"/>
          <w:b/>
          <w:sz w:val="32"/>
          <w:szCs w:val="32"/>
          <w:lang w:val="en-US" w:eastAsia="zh-CN"/>
        </w:rPr>
        <w:t>十、</w:t>
      </w:r>
      <w:r>
        <w:rPr>
          <w:rFonts w:hint="eastAsia" w:ascii="黑体" w:hAnsi="黑体" w:eastAsia="黑体"/>
          <w:b/>
          <w:sz w:val="32"/>
          <w:szCs w:val="32"/>
        </w:rPr>
        <w:t>残疾人福利性单位声明函</w:t>
      </w:r>
    </w:p>
    <w:p w14:paraId="2D7BABAE">
      <w:pPr>
        <w:spacing w:line="440" w:lineRule="exact"/>
        <w:ind w:left="560"/>
        <w:rPr>
          <w:rFonts w:hint="eastAsia" w:ascii="黑体" w:hAnsi="黑体" w:eastAsia="黑体"/>
          <w:b/>
          <w:sz w:val="32"/>
          <w:szCs w:val="32"/>
        </w:rPr>
      </w:pPr>
    </w:p>
    <w:p w14:paraId="4592A6E6">
      <w:pPr>
        <w:spacing w:line="440" w:lineRule="exact"/>
        <w:ind w:firstLine="480" w:firstLineChars="200"/>
        <w:rPr>
          <w:rFonts w:hint="eastAsia"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 w:val="24"/>
          <w:szCs w:val="24"/>
          <w:u w:val="single"/>
          <w:lang w:val="en-US" w:eastAsia="zh-CN"/>
        </w:rPr>
        <w:t xml:space="preserve"> </w:t>
      </w:r>
      <w:r>
        <w:rPr>
          <w:rFonts w:hint="eastAsia" w:ascii="宋体" w:hAnsi="宋体"/>
          <w:sz w:val="24"/>
          <w:szCs w:val="24"/>
          <w:u w:val="single"/>
          <w:lang w:eastAsia="zh-CN"/>
        </w:rPr>
        <w:t>扬中市西来桥镇人民政府</w:t>
      </w:r>
      <w:r>
        <w:rPr>
          <w:rFonts w:hint="eastAsia" w:ascii="宋体" w:hAnsi="宋体"/>
          <w:sz w:val="24"/>
          <w:szCs w:val="24"/>
          <w:u w:val="single"/>
          <w:lang w:val="en-US" w:eastAsia="zh-CN"/>
        </w:rPr>
        <w:t xml:space="preserve">  </w:t>
      </w:r>
      <w:r>
        <w:rPr>
          <w:rFonts w:hint="eastAsia" w:ascii="宋体" w:hAnsi="宋体"/>
          <w:sz w:val="24"/>
          <w:szCs w:val="24"/>
        </w:rPr>
        <w:t>单位的采购文件编号为</w:t>
      </w:r>
      <w:r>
        <w:rPr>
          <w:rFonts w:hint="eastAsia" w:ascii="宋体" w:hAnsi="宋体"/>
          <w:sz w:val="24"/>
          <w:szCs w:val="24"/>
          <w:u w:val="single"/>
          <w:lang w:val="en-US" w:eastAsia="zh-CN"/>
        </w:rPr>
        <w:t xml:space="preserve"> </w:t>
      </w:r>
      <w:r>
        <w:rPr>
          <w:rFonts w:hint="eastAsia" w:ascii="宋体" w:hAnsi="宋体"/>
          <w:sz w:val="24"/>
          <w:szCs w:val="24"/>
          <w:u w:val="single"/>
          <w:lang w:eastAsia="zh-CN"/>
        </w:rPr>
        <w:t>JSZC-321182-ZJSK-</w:t>
      </w:r>
      <w:r>
        <w:rPr>
          <w:rFonts w:hint="eastAsia" w:ascii="宋体" w:hAnsi="宋体"/>
          <w:sz w:val="24"/>
          <w:szCs w:val="24"/>
          <w:u w:val="single"/>
          <w:lang w:val="en-US" w:eastAsia="zh-CN"/>
        </w:rPr>
        <w:t>C</w:t>
      </w:r>
      <w:r>
        <w:rPr>
          <w:rFonts w:hint="eastAsia" w:ascii="宋体" w:hAnsi="宋体"/>
          <w:sz w:val="24"/>
          <w:szCs w:val="24"/>
          <w:u w:val="single"/>
          <w:lang w:eastAsia="zh-CN"/>
        </w:rPr>
        <w:t>2024-000</w:t>
      </w:r>
      <w:r>
        <w:rPr>
          <w:rFonts w:hint="eastAsia" w:ascii="宋体" w:hAnsi="宋体"/>
          <w:sz w:val="24"/>
          <w:szCs w:val="24"/>
          <w:u w:val="single"/>
          <w:lang w:val="en-US" w:eastAsia="zh-CN"/>
        </w:rPr>
        <w:t xml:space="preserve">3  </w:t>
      </w:r>
      <w:r>
        <w:rPr>
          <w:rFonts w:hint="eastAsia" w:ascii="宋体" w:hAnsi="宋体"/>
          <w:sz w:val="24"/>
          <w:szCs w:val="24"/>
        </w:rPr>
        <w:t>的</w:t>
      </w:r>
      <w:r>
        <w:rPr>
          <w:rFonts w:hint="eastAsia" w:ascii="宋体" w:hAnsi="宋体"/>
          <w:sz w:val="24"/>
          <w:szCs w:val="24"/>
          <w:u w:val="single"/>
        </w:rPr>
        <w:t xml:space="preserve"> </w:t>
      </w:r>
      <w:r>
        <w:rPr>
          <w:rFonts w:hint="eastAsia" w:ascii="宋体" w:hAnsi="宋体"/>
          <w:color w:val="000000"/>
          <w:sz w:val="24"/>
          <w:szCs w:val="24"/>
          <w:highlight w:val="none"/>
          <w:u w:val="single"/>
          <w:lang w:eastAsia="zh-CN"/>
        </w:rPr>
        <w:t>扬中市西来桥镇垃圾收运市场化运作项目服务项目</w:t>
      </w:r>
      <w:r>
        <w:rPr>
          <w:rFonts w:hint="eastAsia" w:ascii="宋体" w:hAnsi="宋体"/>
          <w:sz w:val="24"/>
          <w:szCs w:val="24"/>
          <w:u w:val="single"/>
        </w:rPr>
        <w:t xml:space="preserve"> </w:t>
      </w:r>
      <w:r>
        <w:rPr>
          <w:rFonts w:hint="eastAsia" w:ascii="宋体" w:hAnsi="宋体"/>
          <w:sz w:val="24"/>
          <w:szCs w:val="24"/>
        </w:rPr>
        <w:t>采购活动提供本单位制造的货物，或者提供其他残疾人福利性单位制造的货物（不包括使用非残疾人福利性单位注册商标的货物）。</w:t>
      </w:r>
    </w:p>
    <w:p w14:paraId="5571155B">
      <w:pPr>
        <w:spacing w:line="440" w:lineRule="exact"/>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67DDBF87">
      <w:pPr>
        <w:spacing w:line="440" w:lineRule="exact"/>
        <w:ind w:firstLine="480" w:firstLineChars="200"/>
        <w:rPr>
          <w:rFonts w:hint="eastAsia" w:ascii="宋体" w:hAnsi="宋体"/>
          <w:sz w:val="24"/>
          <w:szCs w:val="24"/>
        </w:rPr>
      </w:pPr>
    </w:p>
    <w:p w14:paraId="3342643A">
      <w:pPr>
        <w:spacing w:line="440" w:lineRule="exact"/>
        <w:ind w:firstLine="480" w:firstLineChars="200"/>
        <w:rPr>
          <w:rFonts w:ascii="宋体" w:hAnsi="宋体"/>
          <w:sz w:val="24"/>
          <w:szCs w:val="24"/>
        </w:rPr>
      </w:pPr>
      <w:r>
        <w:rPr>
          <w:rFonts w:hint="eastAsia" w:ascii="宋体" w:hAnsi="宋体"/>
          <w:sz w:val="24"/>
          <w:szCs w:val="24"/>
        </w:rPr>
        <w:t>（备注：1、供应商如不提供此声明函，价格将不做相应扣除。2、成交供应商为残疾人福利单位的，此声明函将随成交结果同时公告，接受社会监督）</w:t>
      </w:r>
    </w:p>
    <w:p w14:paraId="2F8C3AA3">
      <w:pPr>
        <w:spacing w:line="440" w:lineRule="exact"/>
        <w:ind w:firstLine="504" w:firstLineChars="200"/>
        <w:rPr>
          <w:rFonts w:ascii="仿宋_GB2312" w:hAnsi="Times New Roman" w:eastAsia="仿宋_GB2312"/>
          <w:spacing w:val="6"/>
          <w:sz w:val="24"/>
          <w:szCs w:val="24"/>
        </w:rPr>
      </w:pPr>
    </w:p>
    <w:p w14:paraId="4EA64927">
      <w:pPr>
        <w:tabs>
          <w:tab w:val="left" w:pos="4000"/>
        </w:tabs>
        <w:spacing w:line="440" w:lineRule="exact"/>
        <w:ind w:right="900" w:rightChars="0" w:firstLine="504" w:firstLineChars="200"/>
        <w:jc w:val="center"/>
        <w:rPr>
          <w:rFonts w:ascii="宋体" w:hAnsi="宋体"/>
          <w:sz w:val="24"/>
          <w:szCs w:val="24"/>
        </w:rPr>
      </w:pPr>
      <w:r>
        <w:rPr>
          <w:rFonts w:hint="eastAsia" w:ascii="仿宋_GB2312" w:hAnsi="Times New Roman" w:eastAsia="仿宋_GB2312"/>
          <w:spacing w:val="6"/>
          <w:sz w:val="24"/>
          <w:szCs w:val="24"/>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供应商全称（加盖CA电子公章）：</w:t>
      </w:r>
    </w:p>
    <w:p w14:paraId="3A330A40">
      <w:pPr>
        <w:tabs>
          <w:tab w:val="left" w:pos="4860"/>
        </w:tabs>
        <w:spacing w:line="440" w:lineRule="exact"/>
        <w:ind w:right="1560" w:firstLine="480" w:firstLineChars="200"/>
        <w:jc w:val="center"/>
        <w:rPr>
          <w:rFonts w:ascii="宋体" w:hAnsi="宋体"/>
          <w:sz w:val="24"/>
          <w:szCs w:val="24"/>
        </w:rPr>
      </w:pPr>
      <w:r>
        <w:rPr>
          <w:rFonts w:hint="eastAsia" w:ascii="宋体" w:hAnsi="宋体"/>
          <w:sz w:val="24"/>
          <w:szCs w:val="24"/>
        </w:rPr>
        <w:t xml:space="preserve">        日  期：</w:t>
      </w:r>
    </w:p>
    <w:p w14:paraId="4AF7DB6B">
      <w:pPr>
        <w:spacing w:line="440" w:lineRule="exact"/>
        <w:jc w:val="center"/>
        <w:rPr>
          <w:rFonts w:hint="eastAsia" w:ascii="黑体" w:hAnsi="黑体" w:eastAsia="黑体"/>
          <w:b/>
          <w:sz w:val="24"/>
          <w:szCs w:val="24"/>
        </w:rPr>
      </w:pPr>
    </w:p>
    <w:p w14:paraId="27F8252D">
      <w:pPr>
        <w:spacing w:line="440" w:lineRule="exact"/>
        <w:jc w:val="center"/>
        <w:rPr>
          <w:rFonts w:hint="eastAsia" w:ascii="黑体" w:hAnsi="黑体" w:eastAsia="黑体"/>
          <w:b/>
          <w:sz w:val="24"/>
          <w:szCs w:val="24"/>
        </w:rPr>
      </w:pPr>
    </w:p>
    <w:p w14:paraId="01BC2FF1">
      <w:pPr>
        <w:spacing w:line="440" w:lineRule="exact"/>
        <w:jc w:val="center"/>
        <w:rPr>
          <w:rFonts w:hint="eastAsia" w:ascii="黑体" w:hAnsi="黑体" w:eastAsia="黑体"/>
          <w:b/>
          <w:sz w:val="24"/>
          <w:szCs w:val="24"/>
        </w:rPr>
      </w:pPr>
    </w:p>
    <w:p w14:paraId="63F7950F">
      <w:pPr>
        <w:spacing w:line="440" w:lineRule="exact"/>
        <w:jc w:val="center"/>
        <w:rPr>
          <w:rFonts w:hint="eastAsia" w:ascii="黑体" w:hAnsi="黑体" w:eastAsia="黑体"/>
          <w:b/>
          <w:sz w:val="24"/>
          <w:szCs w:val="24"/>
        </w:rPr>
      </w:pPr>
    </w:p>
    <w:p w14:paraId="62F40416">
      <w:pPr>
        <w:spacing w:line="440" w:lineRule="exact"/>
        <w:jc w:val="center"/>
        <w:rPr>
          <w:rFonts w:hint="eastAsia" w:ascii="黑体" w:hAnsi="黑体" w:eastAsia="黑体"/>
          <w:b/>
          <w:sz w:val="24"/>
          <w:szCs w:val="24"/>
        </w:rPr>
      </w:pPr>
    </w:p>
    <w:p w14:paraId="2730712E">
      <w:pPr>
        <w:spacing w:line="440" w:lineRule="exact"/>
        <w:jc w:val="center"/>
        <w:rPr>
          <w:rFonts w:hint="eastAsia" w:ascii="黑体" w:hAnsi="黑体" w:eastAsia="黑体"/>
          <w:b/>
          <w:sz w:val="24"/>
          <w:szCs w:val="24"/>
        </w:rPr>
      </w:pPr>
    </w:p>
    <w:p w14:paraId="4CDEF851">
      <w:pPr>
        <w:spacing w:line="440" w:lineRule="exact"/>
        <w:jc w:val="center"/>
        <w:rPr>
          <w:rFonts w:hint="eastAsia" w:ascii="黑体" w:hAnsi="黑体" w:eastAsia="黑体"/>
          <w:b/>
          <w:sz w:val="24"/>
          <w:szCs w:val="24"/>
        </w:rPr>
      </w:pPr>
    </w:p>
    <w:p w14:paraId="7621E987">
      <w:pPr>
        <w:spacing w:line="440" w:lineRule="exact"/>
        <w:jc w:val="center"/>
        <w:rPr>
          <w:rFonts w:hint="eastAsia" w:ascii="黑体" w:hAnsi="黑体" w:eastAsia="黑体"/>
          <w:b/>
          <w:sz w:val="24"/>
          <w:szCs w:val="24"/>
        </w:rPr>
      </w:pPr>
    </w:p>
    <w:p w14:paraId="7569604D">
      <w:pPr>
        <w:spacing w:line="440" w:lineRule="exact"/>
        <w:jc w:val="center"/>
        <w:rPr>
          <w:rFonts w:hint="eastAsia" w:ascii="黑体" w:hAnsi="黑体" w:eastAsia="黑体"/>
          <w:b/>
          <w:sz w:val="24"/>
          <w:szCs w:val="24"/>
        </w:rPr>
      </w:pPr>
    </w:p>
    <w:p w14:paraId="7512796E">
      <w:pPr>
        <w:spacing w:line="440" w:lineRule="exact"/>
        <w:jc w:val="center"/>
        <w:rPr>
          <w:rFonts w:hint="eastAsia" w:ascii="黑体" w:hAnsi="黑体" w:eastAsia="黑体"/>
          <w:b/>
          <w:sz w:val="24"/>
          <w:szCs w:val="24"/>
        </w:rPr>
      </w:pPr>
    </w:p>
    <w:p w14:paraId="1B82F344">
      <w:pPr>
        <w:spacing w:line="440" w:lineRule="exact"/>
        <w:jc w:val="center"/>
        <w:rPr>
          <w:rFonts w:hint="eastAsia" w:ascii="黑体" w:hAnsi="黑体" w:eastAsia="黑体"/>
          <w:b/>
          <w:sz w:val="24"/>
          <w:szCs w:val="24"/>
        </w:rPr>
      </w:pPr>
    </w:p>
    <w:p w14:paraId="3B343397">
      <w:pPr>
        <w:numPr>
          <w:ilvl w:val="0"/>
          <w:numId w:val="0"/>
        </w:numPr>
        <w:spacing w:line="440" w:lineRule="exact"/>
        <w:ind w:left="440" w:leftChars="0" w:firstLine="560" w:firstLineChars="0"/>
        <w:jc w:val="center"/>
        <w:rPr>
          <w:rFonts w:hint="eastAsia" w:ascii="黑体" w:hAnsi="黑体" w:eastAsia="黑体"/>
          <w:b/>
          <w:sz w:val="24"/>
          <w:szCs w:val="24"/>
        </w:rPr>
      </w:pPr>
    </w:p>
    <w:p w14:paraId="66F0DF1D">
      <w:pPr>
        <w:numPr>
          <w:ilvl w:val="0"/>
          <w:numId w:val="0"/>
        </w:numPr>
        <w:spacing w:line="440" w:lineRule="exact"/>
        <w:ind w:left="440" w:leftChars="0" w:firstLine="560" w:firstLineChars="0"/>
        <w:jc w:val="center"/>
        <w:rPr>
          <w:rFonts w:hint="eastAsia" w:ascii="黑体" w:hAnsi="黑体" w:eastAsia="黑体"/>
          <w:b/>
          <w:sz w:val="32"/>
          <w:szCs w:val="32"/>
          <w:highlight w:val="none"/>
          <w:lang w:eastAsia="zh-CN"/>
        </w:rPr>
      </w:pPr>
      <w:r>
        <w:rPr>
          <w:rFonts w:hint="eastAsia" w:ascii="黑体" w:hAnsi="黑体" w:eastAsia="黑体"/>
          <w:b/>
          <w:sz w:val="24"/>
          <w:szCs w:val="24"/>
        </w:rPr>
        <w:br w:type="page"/>
      </w:r>
      <w:r>
        <w:rPr>
          <w:rFonts w:hint="eastAsia" w:ascii="黑体" w:hAnsi="黑体" w:eastAsia="黑体"/>
          <w:b/>
          <w:sz w:val="32"/>
          <w:szCs w:val="32"/>
          <w:highlight w:val="none"/>
          <w:lang w:val="en-US" w:eastAsia="zh-CN"/>
        </w:rPr>
        <w:t>十一、</w:t>
      </w:r>
      <w:r>
        <w:rPr>
          <w:rFonts w:hint="eastAsia" w:ascii="黑体" w:hAnsi="黑体" w:eastAsia="黑体"/>
          <w:b/>
          <w:sz w:val="32"/>
          <w:szCs w:val="32"/>
          <w:highlight w:val="none"/>
        </w:rPr>
        <w:t>联合体协议（参考格式）</w:t>
      </w:r>
    </w:p>
    <w:p w14:paraId="2A888F5E">
      <w:pPr>
        <w:spacing w:line="440" w:lineRule="exact"/>
        <w:ind w:left="560"/>
        <w:rPr>
          <w:rFonts w:hint="eastAsia" w:ascii="黑体" w:hAnsi="黑体" w:eastAsia="黑体"/>
          <w:b/>
          <w:sz w:val="32"/>
          <w:szCs w:val="32"/>
          <w:highlight w:val="none"/>
        </w:rPr>
      </w:pPr>
    </w:p>
    <w:p w14:paraId="2D33011C">
      <w:pPr>
        <w:spacing w:line="440" w:lineRule="exact"/>
        <w:rPr>
          <w:rFonts w:ascii="宋体" w:hAnsi="宋体"/>
          <w:sz w:val="24"/>
          <w:szCs w:val="24"/>
          <w:highlight w:val="none"/>
        </w:rPr>
      </w:pPr>
      <w:r>
        <w:rPr>
          <w:rFonts w:hint="eastAsia" w:ascii="宋体" w:hAnsi="宋体"/>
          <w:sz w:val="24"/>
          <w:szCs w:val="24"/>
          <w:highlight w:val="none"/>
        </w:rPr>
        <w:t>（联合体中各供应商全称）在此达成以下协议：</w:t>
      </w:r>
    </w:p>
    <w:p w14:paraId="57FD6AA3">
      <w:pPr>
        <w:spacing w:line="440" w:lineRule="exact"/>
        <w:ind w:firstLine="645"/>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、我们</w:t>
      </w:r>
      <w:r>
        <w:rPr>
          <w:rFonts w:hint="eastAsia" w:ascii="宋体" w:hAnsi="宋体"/>
          <w:sz w:val="24"/>
          <w:szCs w:val="24"/>
          <w:highlight w:val="none"/>
          <w:u w:val="single"/>
        </w:rPr>
        <w:t xml:space="preserve"> （供应商1），（供应商2） ，</w:t>
      </w:r>
      <w:r>
        <w:rPr>
          <w:rFonts w:ascii="宋体" w:hAnsi="宋体"/>
          <w:sz w:val="24"/>
          <w:szCs w:val="24"/>
          <w:highlight w:val="none"/>
          <w:u w:val="single"/>
        </w:rPr>
        <w:t>……</w:t>
      </w:r>
      <w:r>
        <w:rPr>
          <w:rFonts w:hint="eastAsia" w:ascii="宋体" w:hAnsi="宋体"/>
          <w:sz w:val="24"/>
          <w:szCs w:val="24"/>
          <w:highlight w:val="none"/>
        </w:rPr>
        <w:t>自愿组成联合体，参加XXX采购代理机构组织的采购编号为</w:t>
      </w:r>
      <w:r>
        <w:rPr>
          <w:rFonts w:hint="eastAsia" w:ascii="宋体" w:hAnsi="宋体"/>
          <w:sz w:val="24"/>
          <w:szCs w:val="24"/>
          <w:highlight w:val="none"/>
          <w:u w:val="single"/>
        </w:rPr>
        <w:t>（编号全称），（项目全称）</w:t>
      </w:r>
      <w:r>
        <w:rPr>
          <w:rFonts w:hint="eastAsia" w:ascii="宋体" w:hAnsi="宋体"/>
          <w:sz w:val="24"/>
          <w:szCs w:val="24"/>
          <w:highlight w:val="none"/>
        </w:rPr>
        <w:t>项目的政府采购活动，我联合体指定</w:t>
      </w:r>
      <w:r>
        <w:rPr>
          <w:rFonts w:hint="eastAsia" w:ascii="宋体" w:hAnsi="宋体"/>
          <w:sz w:val="24"/>
          <w:szCs w:val="24"/>
          <w:highlight w:val="none"/>
          <w:u w:val="single"/>
        </w:rPr>
        <w:t>（供应商*）</w:t>
      </w:r>
      <w:r>
        <w:rPr>
          <w:rFonts w:hint="eastAsia" w:ascii="宋体" w:hAnsi="宋体"/>
          <w:sz w:val="24"/>
          <w:szCs w:val="24"/>
          <w:highlight w:val="none"/>
        </w:rPr>
        <w:t>为牵头单位（牵头单位必须为联合体成员）。</w:t>
      </w:r>
    </w:p>
    <w:p w14:paraId="6E123882">
      <w:pPr>
        <w:spacing w:line="440" w:lineRule="exact"/>
        <w:ind w:firstLine="645"/>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、若我们联合成交，（供应商单位</w:t>
      </w:r>
      <w:r>
        <w:rPr>
          <w:rFonts w:ascii="宋体" w:hAnsi="宋体"/>
          <w:sz w:val="24"/>
          <w:szCs w:val="24"/>
          <w:highlight w:val="none"/>
        </w:rPr>
        <w:t>1</w:t>
      </w:r>
      <w:r>
        <w:rPr>
          <w:rFonts w:hint="eastAsia" w:ascii="宋体" w:hAnsi="宋体"/>
          <w:sz w:val="24"/>
          <w:szCs w:val="24"/>
          <w:highlight w:val="none"/>
        </w:rPr>
        <w:t>全称）实施项目中（工作内容）部分工作，并承担相应的责任。（供应商单位</w:t>
      </w:r>
      <w:r>
        <w:rPr>
          <w:rFonts w:ascii="宋体" w:hAnsi="宋体"/>
          <w:sz w:val="24"/>
          <w:szCs w:val="24"/>
          <w:highlight w:val="none"/>
        </w:rPr>
        <w:t>2</w:t>
      </w:r>
      <w:r>
        <w:rPr>
          <w:rFonts w:hint="eastAsia" w:ascii="宋体" w:hAnsi="宋体"/>
          <w:sz w:val="24"/>
          <w:szCs w:val="24"/>
          <w:highlight w:val="none"/>
        </w:rPr>
        <w:t>全称）实施项目中（工作内容）部分工作，并承担相应的责任……。（注：联合体中各供应商都应明示所承担的工作和相应的责任）。</w:t>
      </w:r>
    </w:p>
    <w:p w14:paraId="4F15C7BD">
      <w:pPr>
        <w:spacing w:line="440" w:lineRule="exact"/>
        <w:ind w:firstLine="645"/>
        <w:rPr>
          <w:rFonts w:hint="eastAsia"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、其中</w:t>
      </w:r>
      <w:r>
        <w:rPr>
          <w:rFonts w:ascii="宋体" w:hAnsi="宋体"/>
          <w:sz w:val="24"/>
          <w:szCs w:val="24"/>
          <w:highlight w:val="none"/>
          <w:u w:val="single"/>
        </w:rPr>
        <w:t xml:space="preserve">      </w:t>
      </w:r>
      <w:r>
        <w:rPr>
          <w:rFonts w:hint="eastAsia" w:ascii="宋体" w:hAnsi="宋体"/>
          <w:sz w:val="24"/>
          <w:szCs w:val="24"/>
          <w:highlight w:val="none"/>
        </w:rPr>
        <w:t>（小型、微型企业/残疾人福利性单位/监狱企业全称）为</w:t>
      </w:r>
      <w:r>
        <w:rPr>
          <w:rFonts w:ascii="宋体" w:hAnsi="宋体"/>
          <w:sz w:val="24"/>
          <w:szCs w:val="24"/>
          <w:highlight w:val="none"/>
          <w:u w:val="single"/>
        </w:rPr>
        <w:t xml:space="preserve">    </w:t>
      </w:r>
      <w:r>
        <w:rPr>
          <w:rFonts w:hint="eastAsia" w:ascii="宋体" w:hAnsi="宋体"/>
          <w:sz w:val="24"/>
          <w:szCs w:val="24"/>
          <w:highlight w:val="none"/>
        </w:rPr>
        <w:t>（小型、微型企业/残疾人福利性单位/监狱企业）企业，且我们约定该公司/单位所承担的合同金额将占本项目合同总金额的</w:t>
      </w:r>
      <w:r>
        <w:rPr>
          <w:rFonts w:ascii="宋体" w:hAnsi="宋体"/>
          <w:sz w:val="24"/>
          <w:szCs w:val="24"/>
          <w:highlight w:val="none"/>
          <w:u w:val="single"/>
        </w:rPr>
        <w:t xml:space="preserve">  </w:t>
      </w:r>
      <w:r>
        <w:rPr>
          <w:rFonts w:ascii="宋体" w:hAnsi="宋体"/>
          <w:sz w:val="24"/>
          <w:szCs w:val="24"/>
          <w:highlight w:val="none"/>
        </w:rPr>
        <w:t xml:space="preserve"> %</w:t>
      </w:r>
      <w:r>
        <w:rPr>
          <w:rFonts w:hint="eastAsia" w:ascii="宋体" w:hAnsi="宋体"/>
          <w:sz w:val="24"/>
          <w:szCs w:val="24"/>
          <w:highlight w:val="none"/>
        </w:rPr>
        <w:t>。</w:t>
      </w:r>
    </w:p>
    <w:p w14:paraId="00EAB9D7">
      <w:pPr>
        <w:spacing w:line="440" w:lineRule="exact"/>
        <w:ind w:firstLine="645"/>
        <w:rPr>
          <w:rFonts w:hint="eastAsia" w:ascii="宋体" w:hAnsi="宋体"/>
          <w:sz w:val="24"/>
          <w:szCs w:val="24"/>
          <w:highlight w:val="none"/>
        </w:rPr>
      </w:pPr>
    </w:p>
    <w:p w14:paraId="6630BD34">
      <w:pPr>
        <w:spacing w:line="440" w:lineRule="exact"/>
        <w:ind w:firstLine="645"/>
        <w:rPr>
          <w:rFonts w:ascii="宋体" w:hAnsi="宋体"/>
          <w:sz w:val="24"/>
          <w:szCs w:val="24"/>
          <w:highlight w:val="none"/>
        </w:rPr>
      </w:pPr>
      <w:r>
        <w:rPr>
          <w:rFonts w:hint="eastAsia" w:ascii="宋体" w:hAnsi="宋体"/>
          <w:sz w:val="24"/>
          <w:szCs w:val="24"/>
          <w:highlight w:val="none"/>
        </w:rPr>
        <w:t>备注：本磋商文件中要求加盖CA电子公章的地方，仅需加盖牵头单位的CA电子公章。</w:t>
      </w:r>
    </w:p>
    <w:p w14:paraId="38166E39">
      <w:pPr>
        <w:spacing w:line="440" w:lineRule="exact"/>
        <w:ind w:firstLine="645"/>
        <w:rPr>
          <w:rFonts w:hint="eastAsia"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w:t>
      </w:r>
    </w:p>
    <w:p w14:paraId="431D886D">
      <w:pPr>
        <w:spacing w:line="440" w:lineRule="exact"/>
        <w:ind w:firstLine="645"/>
        <w:jc w:val="right"/>
        <w:rPr>
          <w:rFonts w:ascii="宋体" w:hAnsi="宋体"/>
          <w:sz w:val="24"/>
          <w:szCs w:val="24"/>
          <w:highlight w:val="none"/>
        </w:rPr>
      </w:pPr>
      <w:r>
        <w:rPr>
          <w:rFonts w:hint="eastAsia" w:ascii="宋体" w:hAnsi="宋体"/>
          <w:sz w:val="24"/>
          <w:szCs w:val="24"/>
          <w:highlight w:val="none"/>
        </w:rPr>
        <w:t>联合体中各供应商全称（公章）：</w:t>
      </w:r>
      <w:r>
        <w:rPr>
          <w:rFonts w:ascii="宋体" w:hAnsi="宋体"/>
          <w:sz w:val="24"/>
          <w:szCs w:val="24"/>
          <w:highlight w:val="none"/>
        </w:rPr>
        <w:t xml:space="preserve">     </w:t>
      </w:r>
    </w:p>
    <w:p w14:paraId="11C957F9">
      <w:pPr>
        <w:spacing w:line="440" w:lineRule="exact"/>
        <w:ind w:firstLine="645"/>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日期：</w:t>
      </w:r>
    </w:p>
    <w:p w14:paraId="6D3AC4CF">
      <w:pPr>
        <w:spacing w:line="440" w:lineRule="exact"/>
        <w:ind w:firstLine="645"/>
        <w:rPr>
          <w:rFonts w:hint="eastAsia" w:ascii="宋体" w:hAnsi="宋体"/>
          <w:sz w:val="24"/>
          <w:szCs w:val="24"/>
          <w:highlight w:val="none"/>
        </w:rPr>
      </w:pPr>
    </w:p>
    <w:p w14:paraId="0366570C">
      <w:pPr>
        <w:spacing w:line="440" w:lineRule="exact"/>
        <w:rPr>
          <w:rFonts w:hint="eastAsia" w:ascii="宋体" w:hAnsi="宋体"/>
          <w:bCs/>
          <w:sz w:val="24"/>
          <w:szCs w:val="24"/>
          <w:highlight w:val="none"/>
        </w:rPr>
      </w:pPr>
    </w:p>
    <w:p w14:paraId="0D58770A">
      <w:pPr>
        <w:spacing w:line="440" w:lineRule="exact"/>
        <w:rPr>
          <w:rFonts w:hint="eastAsia" w:ascii="宋体" w:hAnsi="宋体"/>
          <w:bCs/>
          <w:sz w:val="24"/>
          <w:szCs w:val="24"/>
        </w:rPr>
      </w:pPr>
    </w:p>
    <w:p w14:paraId="3CB43831">
      <w:pPr>
        <w:spacing w:line="440" w:lineRule="exact"/>
        <w:rPr>
          <w:rFonts w:hint="eastAsia" w:ascii="宋体" w:hAnsi="宋体"/>
          <w:bCs/>
          <w:sz w:val="24"/>
          <w:szCs w:val="24"/>
        </w:rPr>
      </w:pPr>
    </w:p>
    <w:p w14:paraId="49098310">
      <w:pPr>
        <w:spacing w:line="440" w:lineRule="exact"/>
        <w:rPr>
          <w:rFonts w:hint="eastAsia" w:ascii="宋体" w:hAnsi="宋体"/>
          <w:bCs/>
          <w:sz w:val="24"/>
          <w:szCs w:val="24"/>
        </w:rPr>
      </w:pPr>
    </w:p>
    <w:p w14:paraId="26837F29">
      <w:pPr>
        <w:spacing w:line="440" w:lineRule="exact"/>
        <w:rPr>
          <w:rFonts w:hint="eastAsia" w:ascii="宋体" w:hAnsi="宋体"/>
          <w:bCs/>
          <w:sz w:val="24"/>
          <w:szCs w:val="24"/>
        </w:rPr>
      </w:pPr>
    </w:p>
    <w:p w14:paraId="7CEEFBF3">
      <w:pPr>
        <w:spacing w:line="440" w:lineRule="exact"/>
        <w:rPr>
          <w:rFonts w:hint="eastAsia" w:ascii="宋体" w:hAnsi="宋体"/>
          <w:bCs/>
          <w:sz w:val="24"/>
          <w:szCs w:val="24"/>
        </w:rPr>
      </w:pPr>
    </w:p>
    <w:p w14:paraId="092B5F6C">
      <w:pPr>
        <w:spacing w:line="440" w:lineRule="exact"/>
        <w:rPr>
          <w:rFonts w:hint="eastAsia" w:ascii="Times New Roman" w:hAnsi="Times New Roman"/>
          <w:sz w:val="24"/>
          <w:szCs w:val="24"/>
        </w:rPr>
      </w:pPr>
    </w:p>
    <w:p w14:paraId="78CA18FB">
      <w:pPr>
        <w:spacing w:line="440" w:lineRule="exact"/>
        <w:rPr>
          <w:rFonts w:hint="eastAsia" w:ascii="Times New Roman" w:hAnsi="Times New Roman"/>
          <w:sz w:val="24"/>
          <w:szCs w:val="24"/>
        </w:rPr>
      </w:pPr>
    </w:p>
    <w:p w14:paraId="4544A6FF">
      <w:pPr>
        <w:spacing w:line="440" w:lineRule="exact"/>
        <w:rPr>
          <w:rFonts w:hint="eastAsia" w:ascii="Times New Roman" w:hAnsi="Times New Roman"/>
          <w:sz w:val="24"/>
          <w:szCs w:val="24"/>
        </w:rPr>
      </w:pPr>
    </w:p>
    <w:p w14:paraId="04986244">
      <w:pPr>
        <w:numPr>
          <w:ilvl w:val="0"/>
          <w:numId w:val="0"/>
        </w:numPr>
        <w:spacing w:line="440" w:lineRule="exact"/>
        <w:ind w:left="440" w:leftChars="0" w:firstLine="560" w:firstLineChars="0"/>
        <w:jc w:val="center"/>
        <w:rPr>
          <w:rFonts w:hint="eastAsia" w:ascii="黑体" w:hAnsi="黑体" w:eastAsia="黑体" w:cs="Times New Roman"/>
          <w:b/>
          <w:sz w:val="32"/>
          <w:szCs w:val="32"/>
          <w:lang w:val="en-US" w:eastAsia="zh-CN" w:bidi="ar-SA"/>
        </w:rPr>
      </w:pPr>
    </w:p>
    <w:p w14:paraId="49DBBE15">
      <w:pPr>
        <w:numPr>
          <w:ilvl w:val="0"/>
          <w:numId w:val="0"/>
        </w:numPr>
        <w:spacing w:line="440" w:lineRule="exact"/>
        <w:ind w:left="440" w:leftChars="0" w:hanging="40" w:firstLineChars="0"/>
        <w:jc w:val="center"/>
        <w:rPr>
          <w:rFonts w:hint="eastAsia" w:ascii="黑体" w:hAnsi="黑体" w:eastAsia="黑体"/>
          <w:b/>
          <w:sz w:val="32"/>
          <w:szCs w:val="32"/>
          <w:lang w:val="en-US" w:eastAsia="zh-CN"/>
        </w:rPr>
      </w:pPr>
    </w:p>
    <w:p w14:paraId="382C620D">
      <w:pPr>
        <w:spacing w:line="440" w:lineRule="exact"/>
        <w:jc w:val="center"/>
        <w:rPr>
          <w:rFonts w:hint="eastAsia" w:ascii="黑体" w:hAnsi="黑体" w:eastAsia="黑体"/>
          <w:b/>
          <w:sz w:val="32"/>
          <w:szCs w:val="32"/>
        </w:rPr>
      </w:pPr>
      <w:r>
        <w:rPr>
          <w:rFonts w:hint="eastAsia" w:ascii="黑体" w:hAnsi="黑体" w:eastAsia="黑体"/>
          <w:b/>
          <w:sz w:val="32"/>
          <w:szCs w:val="32"/>
          <w:lang w:val="en-US" w:eastAsia="zh-CN"/>
        </w:rPr>
        <w:t>十二、</w:t>
      </w:r>
      <w:r>
        <w:rPr>
          <w:rFonts w:hint="eastAsia" w:ascii="黑体" w:hAnsi="黑体" w:eastAsia="黑体"/>
          <w:b/>
          <w:sz w:val="32"/>
          <w:szCs w:val="32"/>
        </w:rPr>
        <w:t>技术部分</w:t>
      </w:r>
    </w:p>
    <w:p w14:paraId="43516663">
      <w:pPr>
        <w:spacing w:line="440" w:lineRule="exact"/>
        <w:ind w:left="560"/>
        <w:rPr>
          <w:rFonts w:ascii="黑体" w:hAnsi="黑体" w:eastAsia="黑体"/>
          <w:b/>
          <w:sz w:val="32"/>
          <w:szCs w:val="32"/>
        </w:rPr>
      </w:pPr>
    </w:p>
    <w:p w14:paraId="25F13942">
      <w:pPr>
        <w:spacing w:line="440" w:lineRule="exact"/>
        <w:jc w:val="center"/>
        <w:rPr>
          <w:rFonts w:hint="eastAsia" w:ascii="黑体" w:hAnsi="黑体" w:eastAsia="黑体"/>
          <w:b/>
          <w:sz w:val="32"/>
          <w:szCs w:val="32"/>
        </w:rPr>
      </w:pPr>
      <w:r>
        <w:rPr>
          <w:rFonts w:hint="eastAsia" w:ascii="黑体" w:hAnsi="黑体" w:eastAsia="黑体"/>
          <w:b/>
          <w:sz w:val="32"/>
          <w:szCs w:val="32"/>
        </w:rPr>
        <w:t>（一）技术方案（格式自拟）</w:t>
      </w:r>
    </w:p>
    <w:p w14:paraId="0C5E54AD">
      <w:pPr>
        <w:spacing w:line="440" w:lineRule="exact"/>
        <w:jc w:val="center"/>
        <w:rPr>
          <w:rFonts w:hint="eastAsia" w:ascii="黑体" w:hAnsi="黑体" w:eastAsia="黑体"/>
          <w:b/>
          <w:sz w:val="32"/>
          <w:szCs w:val="32"/>
          <w:lang w:eastAsia="zh-CN"/>
        </w:rPr>
      </w:pPr>
      <w:r>
        <w:rPr>
          <w:rFonts w:hint="eastAsia" w:ascii="仿宋_GB2312" w:hAnsi="仿宋_GB2312" w:eastAsia="仿宋_GB2312" w:cs="仿宋_GB2312"/>
          <w:b/>
          <w:color w:val="auto"/>
          <w:sz w:val="28"/>
          <w:szCs w:val="28"/>
          <w:lang w:eastAsia="zh-CN"/>
        </w:rPr>
        <w:t>供应商</w:t>
      </w:r>
      <w:r>
        <w:rPr>
          <w:rFonts w:hint="eastAsia" w:ascii="仿宋_GB2312" w:hAnsi="仿宋_GB2312" w:eastAsia="仿宋_GB2312" w:cs="仿宋_GB2312"/>
          <w:b/>
          <w:color w:val="auto"/>
          <w:sz w:val="28"/>
          <w:szCs w:val="28"/>
        </w:rPr>
        <w:t>应根据本项目具体类型，根据</w:t>
      </w:r>
      <w:r>
        <w:rPr>
          <w:rFonts w:hint="eastAsia" w:ascii="仿宋_GB2312" w:hAnsi="仿宋_GB2312" w:eastAsia="仿宋_GB2312" w:cs="仿宋_GB2312"/>
          <w:b/>
          <w:color w:val="auto"/>
          <w:sz w:val="28"/>
          <w:szCs w:val="28"/>
          <w:lang w:eastAsia="zh-CN"/>
        </w:rPr>
        <w:t>采购文件</w:t>
      </w:r>
      <w:r>
        <w:rPr>
          <w:rFonts w:hint="eastAsia" w:ascii="仿宋_GB2312" w:hAnsi="仿宋_GB2312" w:eastAsia="仿宋_GB2312" w:cs="仿宋_GB2312"/>
          <w:b/>
          <w:color w:val="auto"/>
          <w:sz w:val="28"/>
          <w:szCs w:val="28"/>
        </w:rPr>
        <w:t>评分办法中的各项标准，明确服务需求，准确分析，制订服务方案。</w:t>
      </w:r>
      <w:r>
        <w:rPr>
          <w:rFonts w:hint="eastAsia" w:ascii="黑体" w:hAnsi="黑体" w:eastAsia="黑体"/>
          <w:b/>
          <w:sz w:val="24"/>
          <w:szCs w:val="24"/>
        </w:rPr>
        <w:br w:type="page"/>
      </w:r>
      <w:r>
        <w:rPr>
          <w:rFonts w:hint="eastAsia" w:ascii="黑体" w:hAnsi="黑体" w:eastAsia="黑体"/>
          <w:b/>
          <w:sz w:val="32"/>
          <w:szCs w:val="32"/>
        </w:rPr>
        <w:t>（二）技术要求响应及偏离表</w:t>
      </w:r>
    </w:p>
    <w:p w14:paraId="450F9F85">
      <w:pPr>
        <w:spacing w:line="440" w:lineRule="exact"/>
        <w:jc w:val="center"/>
        <w:rPr>
          <w:rFonts w:hint="eastAsia" w:ascii="黑体" w:hAnsi="黑体" w:eastAsia="黑体"/>
          <w:b/>
          <w:sz w:val="32"/>
          <w:szCs w:val="32"/>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291"/>
        <w:gridCol w:w="2852"/>
        <w:gridCol w:w="1308"/>
        <w:gridCol w:w="1173"/>
      </w:tblGrid>
      <w:tr w14:paraId="4850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0"/>
            <w:vAlign w:val="center"/>
          </w:tcPr>
          <w:p w14:paraId="56F71743">
            <w:pPr>
              <w:spacing w:line="440" w:lineRule="exact"/>
              <w:jc w:val="center"/>
              <w:rPr>
                <w:rFonts w:hint="eastAsia" w:ascii="宋体" w:hAnsi="宋体"/>
                <w:sz w:val="24"/>
                <w:szCs w:val="24"/>
              </w:rPr>
            </w:pPr>
            <w:r>
              <w:rPr>
                <w:rFonts w:hint="eastAsia" w:ascii="宋体" w:hAnsi="宋体"/>
                <w:sz w:val="24"/>
                <w:szCs w:val="24"/>
              </w:rPr>
              <w:t>序号</w:t>
            </w:r>
          </w:p>
        </w:tc>
        <w:tc>
          <w:tcPr>
            <w:tcW w:w="3291" w:type="dxa"/>
            <w:noWrap w:val="0"/>
            <w:vAlign w:val="center"/>
          </w:tcPr>
          <w:p w14:paraId="6B5F0B1E">
            <w:pPr>
              <w:spacing w:line="440" w:lineRule="exact"/>
              <w:jc w:val="center"/>
              <w:rPr>
                <w:rFonts w:hint="eastAsia" w:ascii="宋体" w:hAnsi="宋体"/>
                <w:sz w:val="24"/>
                <w:szCs w:val="24"/>
              </w:rPr>
            </w:pPr>
            <w:r>
              <w:rPr>
                <w:rFonts w:hint="eastAsia" w:ascii="宋体" w:hAnsi="宋体"/>
                <w:sz w:val="24"/>
                <w:szCs w:val="24"/>
              </w:rPr>
              <w:t>磋商文件要求</w:t>
            </w:r>
          </w:p>
        </w:tc>
        <w:tc>
          <w:tcPr>
            <w:tcW w:w="2852" w:type="dxa"/>
            <w:noWrap w:val="0"/>
            <w:vAlign w:val="center"/>
          </w:tcPr>
          <w:p w14:paraId="665884EC">
            <w:pPr>
              <w:spacing w:line="440" w:lineRule="exact"/>
              <w:jc w:val="center"/>
              <w:rPr>
                <w:rFonts w:hint="eastAsia" w:ascii="宋体" w:hAnsi="宋体"/>
                <w:sz w:val="24"/>
                <w:szCs w:val="24"/>
              </w:rPr>
            </w:pPr>
            <w:r>
              <w:rPr>
                <w:rFonts w:hint="eastAsia" w:ascii="宋体" w:hAnsi="宋体"/>
                <w:sz w:val="24"/>
                <w:szCs w:val="24"/>
              </w:rPr>
              <w:t>响应情况</w:t>
            </w:r>
          </w:p>
        </w:tc>
        <w:tc>
          <w:tcPr>
            <w:tcW w:w="1308" w:type="dxa"/>
            <w:noWrap w:val="0"/>
            <w:vAlign w:val="center"/>
          </w:tcPr>
          <w:p w14:paraId="1AD284A3">
            <w:pPr>
              <w:spacing w:line="440" w:lineRule="exact"/>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14:paraId="23360AEC">
            <w:pPr>
              <w:spacing w:line="440" w:lineRule="exact"/>
              <w:jc w:val="center"/>
              <w:rPr>
                <w:rFonts w:hint="eastAsia" w:ascii="宋体" w:hAnsi="宋体"/>
                <w:sz w:val="24"/>
                <w:szCs w:val="24"/>
              </w:rPr>
            </w:pPr>
            <w:r>
              <w:rPr>
                <w:rFonts w:hint="eastAsia" w:ascii="宋体" w:hAnsi="宋体"/>
                <w:sz w:val="24"/>
                <w:szCs w:val="24"/>
              </w:rPr>
              <w:t>证明</w:t>
            </w:r>
          </w:p>
          <w:p w14:paraId="2344C5D6">
            <w:pPr>
              <w:spacing w:line="440" w:lineRule="exact"/>
              <w:jc w:val="center"/>
              <w:rPr>
                <w:rFonts w:hint="eastAsia" w:ascii="宋体" w:hAnsi="宋体"/>
                <w:sz w:val="24"/>
                <w:szCs w:val="24"/>
              </w:rPr>
            </w:pPr>
            <w:r>
              <w:rPr>
                <w:rFonts w:hint="eastAsia" w:ascii="宋体" w:hAnsi="宋体"/>
                <w:sz w:val="24"/>
                <w:szCs w:val="24"/>
              </w:rPr>
              <w:t>材料</w:t>
            </w:r>
          </w:p>
        </w:tc>
      </w:tr>
      <w:tr w14:paraId="7B6D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25E17719">
            <w:pPr>
              <w:spacing w:line="440" w:lineRule="exact"/>
              <w:jc w:val="center"/>
              <w:rPr>
                <w:rFonts w:hint="eastAsia" w:ascii="宋体" w:hAnsi="宋体"/>
                <w:sz w:val="24"/>
                <w:szCs w:val="24"/>
              </w:rPr>
            </w:pPr>
          </w:p>
        </w:tc>
        <w:tc>
          <w:tcPr>
            <w:tcW w:w="3291" w:type="dxa"/>
            <w:noWrap w:val="0"/>
            <w:vAlign w:val="top"/>
          </w:tcPr>
          <w:p w14:paraId="4FBBA3F9">
            <w:pPr>
              <w:spacing w:line="440" w:lineRule="exact"/>
              <w:jc w:val="center"/>
              <w:rPr>
                <w:rFonts w:hint="eastAsia" w:ascii="宋体" w:hAnsi="宋体"/>
                <w:sz w:val="24"/>
                <w:szCs w:val="24"/>
              </w:rPr>
            </w:pPr>
          </w:p>
        </w:tc>
        <w:tc>
          <w:tcPr>
            <w:tcW w:w="2852" w:type="dxa"/>
            <w:noWrap w:val="0"/>
            <w:vAlign w:val="top"/>
          </w:tcPr>
          <w:p w14:paraId="4A879F0F">
            <w:pPr>
              <w:spacing w:line="440" w:lineRule="exact"/>
              <w:jc w:val="center"/>
              <w:rPr>
                <w:rFonts w:hint="eastAsia" w:ascii="宋体" w:hAnsi="宋体"/>
                <w:sz w:val="24"/>
                <w:szCs w:val="24"/>
              </w:rPr>
            </w:pPr>
          </w:p>
        </w:tc>
        <w:tc>
          <w:tcPr>
            <w:tcW w:w="1308" w:type="dxa"/>
            <w:noWrap w:val="0"/>
            <w:vAlign w:val="top"/>
          </w:tcPr>
          <w:p w14:paraId="66C757F4">
            <w:pPr>
              <w:spacing w:line="440" w:lineRule="exact"/>
              <w:jc w:val="center"/>
              <w:rPr>
                <w:rFonts w:hint="eastAsia" w:ascii="宋体" w:hAnsi="宋体"/>
                <w:sz w:val="24"/>
                <w:szCs w:val="24"/>
              </w:rPr>
            </w:pPr>
          </w:p>
        </w:tc>
        <w:tc>
          <w:tcPr>
            <w:tcW w:w="1173" w:type="dxa"/>
            <w:noWrap w:val="0"/>
            <w:vAlign w:val="top"/>
          </w:tcPr>
          <w:p w14:paraId="07FA73BE">
            <w:pPr>
              <w:spacing w:line="440" w:lineRule="exact"/>
              <w:jc w:val="center"/>
              <w:rPr>
                <w:rFonts w:hint="eastAsia" w:ascii="宋体" w:hAnsi="宋体"/>
                <w:sz w:val="24"/>
                <w:szCs w:val="24"/>
              </w:rPr>
            </w:pPr>
          </w:p>
        </w:tc>
      </w:tr>
      <w:tr w14:paraId="021B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3C744FC6">
            <w:pPr>
              <w:spacing w:line="440" w:lineRule="exact"/>
              <w:jc w:val="center"/>
              <w:rPr>
                <w:rFonts w:hint="eastAsia" w:ascii="宋体" w:hAnsi="宋体"/>
                <w:sz w:val="24"/>
                <w:szCs w:val="24"/>
              </w:rPr>
            </w:pPr>
          </w:p>
        </w:tc>
        <w:tc>
          <w:tcPr>
            <w:tcW w:w="3291" w:type="dxa"/>
            <w:noWrap w:val="0"/>
            <w:vAlign w:val="top"/>
          </w:tcPr>
          <w:p w14:paraId="6CAF744B">
            <w:pPr>
              <w:spacing w:line="440" w:lineRule="exact"/>
              <w:jc w:val="center"/>
              <w:rPr>
                <w:rFonts w:hint="eastAsia" w:ascii="宋体" w:hAnsi="宋体"/>
                <w:sz w:val="24"/>
                <w:szCs w:val="24"/>
              </w:rPr>
            </w:pPr>
          </w:p>
        </w:tc>
        <w:tc>
          <w:tcPr>
            <w:tcW w:w="2852" w:type="dxa"/>
            <w:noWrap w:val="0"/>
            <w:vAlign w:val="top"/>
          </w:tcPr>
          <w:p w14:paraId="3869BDC1">
            <w:pPr>
              <w:spacing w:line="440" w:lineRule="exact"/>
              <w:jc w:val="center"/>
              <w:rPr>
                <w:rFonts w:hint="eastAsia" w:ascii="宋体" w:hAnsi="宋体"/>
                <w:sz w:val="24"/>
                <w:szCs w:val="24"/>
              </w:rPr>
            </w:pPr>
          </w:p>
        </w:tc>
        <w:tc>
          <w:tcPr>
            <w:tcW w:w="1308" w:type="dxa"/>
            <w:noWrap w:val="0"/>
            <w:vAlign w:val="top"/>
          </w:tcPr>
          <w:p w14:paraId="31BDE5BD">
            <w:pPr>
              <w:spacing w:line="440" w:lineRule="exact"/>
              <w:jc w:val="center"/>
              <w:rPr>
                <w:rFonts w:hint="eastAsia" w:ascii="宋体" w:hAnsi="宋体"/>
                <w:sz w:val="24"/>
                <w:szCs w:val="24"/>
              </w:rPr>
            </w:pPr>
          </w:p>
        </w:tc>
        <w:tc>
          <w:tcPr>
            <w:tcW w:w="1173" w:type="dxa"/>
            <w:noWrap w:val="0"/>
            <w:vAlign w:val="top"/>
          </w:tcPr>
          <w:p w14:paraId="6D100A74">
            <w:pPr>
              <w:spacing w:line="440" w:lineRule="exact"/>
              <w:jc w:val="center"/>
              <w:rPr>
                <w:rFonts w:hint="eastAsia" w:ascii="宋体" w:hAnsi="宋体"/>
                <w:sz w:val="24"/>
                <w:szCs w:val="24"/>
              </w:rPr>
            </w:pPr>
          </w:p>
        </w:tc>
      </w:tr>
      <w:tr w14:paraId="6B55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6339E23C">
            <w:pPr>
              <w:spacing w:line="440" w:lineRule="exact"/>
              <w:jc w:val="center"/>
              <w:rPr>
                <w:rFonts w:hint="eastAsia" w:ascii="宋体" w:hAnsi="宋体"/>
                <w:sz w:val="24"/>
                <w:szCs w:val="24"/>
              </w:rPr>
            </w:pPr>
          </w:p>
        </w:tc>
        <w:tc>
          <w:tcPr>
            <w:tcW w:w="3291" w:type="dxa"/>
            <w:noWrap w:val="0"/>
            <w:vAlign w:val="top"/>
          </w:tcPr>
          <w:p w14:paraId="0AC170A5">
            <w:pPr>
              <w:spacing w:line="440" w:lineRule="exact"/>
              <w:jc w:val="center"/>
              <w:rPr>
                <w:rFonts w:hint="eastAsia" w:ascii="宋体" w:hAnsi="宋体"/>
                <w:sz w:val="24"/>
                <w:szCs w:val="24"/>
              </w:rPr>
            </w:pPr>
          </w:p>
        </w:tc>
        <w:tc>
          <w:tcPr>
            <w:tcW w:w="2852" w:type="dxa"/>
            <w:noWrap w:val="0"/>
            <w:vAlign w:val="top"/>
          </w:tcPr>
          <w:p w14:paraId="1A3D1892">
            <w:pPr>
              <w:spacing w:line="440" w:lineRule="exact"/>
              <w:jc w:val="center"/>
              <w:rPr>
                <w:rFonts w:hint="eastAsia" w:ascii="宋体" w:hAnsi="宋体"/>
                <w:sz w:val="24"/>
                <w:szCs w:val="24"/>
              </w:rPr>
            </w:pPr>
          </w:p>
        </w:tc>
        <w:tc>
          <w:tcPr>
            <w:tcW w:w="1308" w:type="dxa"/>
            <w:noWrap w:val="0"/>
            <w:vAlign w:val="top"/>
          </w:tcPr>
          <w:p w14:paraId="5629E0A9">
            <w:pPr>
              <w:spacing w:line="440" w:lineRule="exact"/>
              <w:jc w:val="center"/>
              <w:rPr>
                <w:rFonts w:hint="eastAsia" w:ascii="宋体" w:hAnsi="宋体"/>
                <w:sz w:val="24"/>
                <w:szCs w:val="24"/>
              </w:rPr>
            </w:pPr>
          </w:p>
        </w:tc>
        <w:tc>
          <w:tcPr>
            <w:tcW w:w="1173" w:type="dxa"/>
            <w:noWrap w:val="0"/>
            <w:vAlign w:val="top"/>
          </w:tcPr>
          <w:p w14:paraId="0B4ABEB2">
            <w:pPr>
              <w:spacing w:line="440" w:lineRule="exact"/>
              <w:jc w:val="center"/>
              <w:rPr>
                <w:rFonts w:hint="eastAsia" w:ascii="宋体" w:hAnsi="宋体"/>
                <w:sz w:val="24"/>
                <w:szCs w:val="24"/>
              </w:rPr>
            </w:pPr>
          </w:p>
        </w:tc>
      </w:tr>
      <w:tr w14:paraId="2264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4BD19594">
            <w:pPr>
              <w:spacing w:line="440" w:lineRule="exact"/>
              <w:jc w:val="center"/>
              <w:rPr>
                <w:rFonts w:hint="eastAsia" w:ascii="宋体" w:hAnsi="宋体"/>
                <w:sz w:val="24"/>
                <w:szCs w:val="24"/>
              </w:rPr>
            </w:pPr>
          </w:p>
        </w:tc>
        <w:tc>
          <w:tcPr>
            <w:tcW w:w="3291" w:type="dxa"/>
            <w:noWrap w:val="0"/>
            <w:vAlign w:val="top"/>
          </w:tcPr>
          <w:p w14:paraId="1E09D203">
            <w:pPr>
              <w:spacing w:line="440" w:lineRule="exact"/>
              <w:jc w:val="center"/>
              <w:rPr>
                <w:rFonts w:hint="eastAsia" w:ascii="宋体" w:hAnsi="宋体"/>
                <w:sz w:val="24"/>
                <w:szCs w:val="24"/>
              </w:rPr>
            </w:pPr>
          </w:p>
        </w:tc>
        <w:tc>
          <w:tcPr>
            <w:tcW w:w="2852" w:type="dxa"/>
            <w:noWrap w:val="0"/>
            <w:vAlign w:val="top"/>
          </w:tcPr>
          <w:p w14:paraId="7EFE7B07">
            <w:pPr>
              <w:spacing w:line="440" w:lineRule="exact"/>
              <w:jc w:val="center"/>
              <w:rPr>
                <w:rFonts w:hint="eastAsia" w:ascii="宋体" w:hAnsi="宋体"/>
                <w:sz w:val="24"/>
                <w:szCs w:val="24"/>
              </w:rPr>
            </w:pPr>
          </w:p>
        </w:tc>
        <w:tc>
          <w:tcPr>
            <w:tcW w:w="1308" w:type="dxa"/>
            <w:noWrap w:val="0"/>
            <w:vAlign w:val="top"/>
          </w:tcPr>
          <w:p w14:paraId="001758AA">
            <w:pPr>
              <w:spacing w:line="440" w:lineRule="exact"/>
              <w:jc w:val="center"/>
              <w:rPr>
                <w:rFonts w:hint="eastAsia" w:ascii="宋体" w:hAnsi="宋体"/>
                <w:sz w:val="24"/>
                <w:szCs w:val="24"/>
              </w:rPr>
            </w:pPr>
          </w:p>
        </w:tc>
        <w:tc>
          <w:tcPr>
            <w:tcW w:w="1173" w:type="dxa"/>
            <w:noWrap w:val="0"/>
            <w:vAlign w:val="top"/>
          </w:tcPr>
          <w:p w14:paraId="7207C12F">
            <w:pPr>
              <w:spacing w:line="440" w:lineRule="exact"/>
              <w:jc w:val="center"/>
              <w:rPr>
                <w:rFonts w:hint="eastAsia" w:ascii="宋体" w:hAnsi="宋体"/>
                <w:sz w:val="24"/>
                <w:szCs w:val="24"/>
              </w:rPr>
            </w:pPr>
          </w:p>
        </w:tc>
      </w:tr>
      <w:tr w14:paraId="630E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039BFBA4">
            <w:pPr>
              <w:spacing w:line="440" w:lineRule="exact"/>
              <w:jc w:val="center"/>
              <w:rPr>
                <w:rFonts w:hint="eastAsia" w:ascii="宋体" w:hAnsi="宋体"/>
                <w:sz w:val="24"/>
                <w:szCs w:val="24"/>
              </w:rPr>
            </w:pPr>
          </w:p>
        </w:tc>
        <w:tc>
          <w:tcPr>
            <w:tcW w:w="3291" w:type="dxa"/>
            <w:noWrap w:val="0"/>
            <w:vAlign w:val="top"/>
          </w:tcPr>
          <w:p w14:paraId="43CEBC87">
            <w:pPr>
              <w:spacing w:line="440" w:lineRule="exact"/>
              <w:jc w:val="center"/>
              <w:rPr>
                <w:rFonts w:hint="eastAsia" w:ascii="宋体" w:hAnsi="宋体"/>
                <w:sz w:val="24"/>
                <w:szCs w:val="24"/>
              </w:rPr>
            </w:pPr>
          </w:p>
        </w:tc>
        <w:tc>
          <w:tcPr>
            <w:tcW w:w="2852" w:type="dxa"/>
            <w:noWrap w:val="0"/>
            <w:vAlign w:val="top"/>
          </w:tcPr>
          <w:p w14:paraId="59939283">
            <w:pPr>
              <w:spacing w:line="440" w:lineRule="exact"/>
              <w:jc w:val="center"/>
              <w:rPr>
                <w:rFonts w:hint="eastAsia" w:ascii="宋体" w:hAnsi="宋体"/>
                <w:sz w:val="24"/>
                <w:szCs w:val="24"/>
              </w:rPr>
            </w:pPr>
          </w:p>
        </w:tc>
        <w:tc>
          <w:tcPr>
            <w:tcW w:w="1308" w:type="dxa"/>
            <w:noWrap w:val="0"/>
            <w:vAlign w:val="top"/>
          </w:tcPr>
          <w:p w14:paraId="66E69EEE">
            <w:pPr>
              <w:spacing w:line="440" w:lineRule="exact"/>
              <w:jc w:val="center"/>
              <w:rPr>
                <w:rFonts w:hint="eastAsia" w:ascii="宋体" w:hAnsi="宋体"/>
                <w:sz w:val="24"/>
                <w:szCs w:val="24"/>
              </w:rPr>
            </w:pPr>
          </w:p>
        </w:tc>
        <w:tc>
          <w:tcPr>
            <w:tcW w:w="1173" w:type="dxa"/>
            <w:noWrap w:val="0"/>
            <w:vAlign w:val="top"/>
          </w:tcPr>
          <w:p w14:paraId="77B9B616">
            <w:pPr>
              <w:spacing w:line="440" w:lineRule="exact"/>
              <w:jc w:val="center"/>
              <w:rPr>
                <w:rFonts w:hint="eastAsia" w:ascii="宋体" w:hAnsi="宋体"/>
                <w:sz w:val="24"/>
                <w:szCs w:val="24"/>
              </w:rPr>
            </w:pPr>
          </w:p>
        </w:tc>
      </w:tr>
      <w:tr w14:paraId="2158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15870BBB">
            <w:pPr>
              <w:spacing w:line="440" w:lineRule="exact"/>
              <w:jc w:val="center"/>
              <w:rPr>
                <w:rFonts w:hint="eastAsia" w:ascii="宋体" w:hAnsi="宋体"/>
                <w:sz w:val="24"/>
                <w:szCs w:val="24"/>
              </w:rPr>
            </w:pPr>
          </w:p>
        </w:tc>
        <w:tc>
          <w:tcPr>
            <w:tcW w:w="3291" w:type="dxa"/>
            <w:noWrap w:val="0"/>
            <w:vAlign w:val="top"/>
          </w:tcPr>
          <w:p w14:paraId="07B6ACD9">
            <w:pPr>
              <w:spacing w:line="440" w:lineRule="exact"/>
              <w:jc w:val="center"/>
              <w:rPr>
                <w:rFonts w:hint="eastAsia" w:ascii="宋体" w:hAnsi="宋体"/>
                <w:sz w:val="24"/>
                <w:szCs w:val="24"/>
              </w:rPr>
            </w:pPr>
          </w:p>
        </w:tc>
        <w:tc>
          <w:tcPr>
            <w:tcW w:w="2852" w:type="dxa"/>
            <w:noWrap w:val="0"/>
            <w:vAlign w:val="top"/>
          </w:tcPr>
          <w:p w14:paraId="1F545034">
            <w:pPr>
              <w:spacing w:line="440" w:lineRule="exact"/>
              <w:jc w:val="center"/>
              <w:rPr>
                <w:rFonts w:hint="eastAsia" w:ascii="宋体" w:hAnsi="宋体"/>
                <w:sz w:val="24"/>
                <w:szCs w:val="24"/>
              </w:rPr>
            </w:pPr>
          </w:p>
        </w:tc>
        <w:tc>
          <w:tcPr>
            <w:tcW w:w="1308" w:type="dxa"/>
            <w:noWrap w:val="0"/>
            <w:vAlign w:val="top"/>
          </w:tcPr>
          <w:p w14:paraId="24ECC8FC">
            <w:pPr>
              <w:spacing w:line="440" w:lineRule="exact"/>
              <w:jc w:val="center"/>
              <w:rPr>
                <w:rFonts w:hint="eastAsia" w:ascii="宋体" w:hAnsi="宋体"/>
                <w:sz w:val="24"/>
                <w:szCs w:val="24"/>
              </w:rPr>
            </w:pPr>
          </w:p>
        </w:tc>
        <w:tc>
          <w:tcPr>
            <w:tcW w:w="1173" w:type="dxa"/>
            <w:noWrap w:val="0"/>
            <w:vAlign w:val="top"/>
          </w:tcPr>
          <w:p w14:paraId="1BBA78ED">
            <w:pPr>
              <w:spacing w:line="440" w:lineRule="exact"/>
              <w:jc w:val="center"/>
              <w:rPr>
                <w:rFonts w:hint="eastAsia" w:ascii="宋体" w:hAnsi="宋体"/>
                <w:sz w:val="24"/>
                <w:szCs w:val="24"/>
              </w:rPr>
            </w:pPr>
          </w:p>
        </w:tc>
      </w:tr>
      <w:tr w14:paraId="4C12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644FA765">
            <w:pPr>
              <w:spacing w:line="440" w:lineRule="exact"/>
              <w:jc w:val="center"/>
              <w:rPr>
                <w:rFonts w:hint="eastAsia" w:ascii="宋体" w:hAnsi="宋体"/>
                <w:sz w:val="24"/>
                <w:szCs w:val="24"/>
              </w:rPr>
            </w:pPr>
          </w:p>
        </w:tc>
        <w:tc>
          <w:tcPr>
            <w:tcW w:w="3291" w:type="dxa"/>
            <w:noWrap w:val="0"/>
            <w:vAlign w:val="top"/>
          </w:tcPr>
          <w:p w14:paraId="59782CA5">
            <w:pPr>
              <w:spacing w:line="440" w:lineRule="exact"/>
              <w:jc w:val="center"/>
              <w:rPr>
                <w:rFonts w:hint="eastAsia" w:ascii="宋体" w:hAnsi="宋体"/>
                <w:sz w:val="24"/>
                <w:szCs w:val="24"/>
              </w:rPr>
            </w:pPr>
          </w:p>
        </w:tc>
        <w:tc>
          <w:tcPr>
            <w:tcW w:w="2852" w:type="dxa"/>
            <w:noWrap w:val="0"/>
            <w:vAlign w:val="top"/>
          </w:tcPr>
          <w:p w14:paraId="78BC23D3">
            <w:pPr>
              <w:spacing w:line="440" w:lineRule="exact"/>
              <w:jc w:val="center"/>
              <w:rPr>
                <w:rFonts w:hint="eastAsia" w:ascii="宋体" w:hAnsi="宋体"/>
                <w:sz w:val="24"/>
                <w:szCs w:val="24"/>
              </w:rPr>
            </w:pPr>
          </w:p>
        </w:tc>
        <w:tc>
          <w:tcPr>
            <w:tcW w:w="1308" w:type="dxa"/>
            <w:noWrap w:val="0"/>
            <w:vAlign w:val="top"/>
          </w:tcPr>
          <w:p w14:paraId="4C894FFA">
            <w:pPr>
              <w:spacing w:line="440" w:lineRule="exact"/>
              <w:jc w:val="center"/>
              <w:rPr>
                <w:rFonts w:hint="eastAsia" w:ascii="宋体" w:hAnsi="宋体"/>
                <w:sz w:val="24"/>
                <w:szCs w:val="24"/>
              </w:rPr>
            </w:pPr>
          </w:p>
        </w:tc>
        <w:tc>
          <w:tcPr>
            <w:tcW w:w="1173" w:type="dxa"/>
            <w:noWrap w:val="0"/>
            <w:vAlign w:val="top"/>
          </w:tcPr>
          <w:p w14:paraId="071C92E2">
            <w:pPr>
              <w:spacing w:line="440" w:lineRule="exact"/>
              <w:jc w:val="center"/>
              <w:rPr>
                <w:rFonts w:hint="eastAsia" w:ascii="宋体" w:hAnsi="宋体"/>
                <w:sz w:val="24"/>
                <w:szCs w:val="24"/>
              </w:rPr>
            </w:pPr>
          </w:p>
        </w:tc>
      </w:tr>
      <w:tr w14:paraId="3FB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vAlign w:val="top"/>
          </w:tcPr>
          <w:p w14:paraId="3E978BEB">
            <w:pPr>
              <w:spacing w:line="440" w:lineRule="exact"/>
              <w:jc w:val="center"/>
              <w:rPr>
                <w:rFonts w:hint="eastAsia" w:ascii="宋体" w:hAnsi="宋体"/>
                <w:sz w:val="24"/>
                <w:szCs w:val="24"/>
              </w:rPr>
            </w:pPr>
          </w:p>
        </w:tc>
        <w:tc>
          <w:tcPr>
            <w:tcW w:w="3291" w:type="dxa"/>
            <w:noWrap w:val="0"/>
            <w:vAlign w:val="top"/>
          </w:tcPr>
          <w:p w14:paraId="4D007639">
            <w:pPr>
              <w:spacing w:line="440" w:lineRule="exact"/>
              <w:jc w:val="center"/>
              <w:rPr>
                <w:rFonts w:hint="eastAsia" w:ascii="宋体" w:hAnsi="宋体"/>
                <w:sz w:val="24"/>
                <w:szCs w:val="24"/>
              </w:rPr>
            </w:pPr>
            <w:r>
              <w:rPr>
                <w:rFonts w:ascii="宋体" w:hAnsi="宋体"/>
                <w:sz w:val="24"/>
                <w:szCs w:val="24"/>
              </w:rPr>
              <w:t>……</w:t>
            </w:r>
          </w:p>
        </w:tc>
        <w:tc>
          <w:tcPr>
            <w:tcW w:w="2852" w:type="dxa"/>
            <w:noWrap w:val="0"/>
            <w:vAlign w:val="top"/>
          </w:tcPr>
          <w:p w14:paraId="73E25AEE">
            <w:pPr>
              <w:spacing w:line="440" w:lineRule="exact"/>
              <w:jc w:val="center"/>
              <w:rPr>
                <w:rFonts w:hint="eastAsia" w:ascii="宋体" w:hAnsi="宋体"/>
                <w:sz w:val="24"/>
                <w:szCs w:val="24"/>
              </w:rPr>
            </w:pPr>
          </w:p>
        </w:tc>
        <w:tc>
          <w:tcPr>
            <w:tcW w:w="1308" w:type="dxa"/>
            <w:noWrap w:val="0"/>
            <w:vAlign w:val="top"/>
          </w:tcPr>
          <w:p w14:paraId="357F40C5">
            <w:pPr>
              <w:spacing w:line="440" w:lineRule="exact"/>
              <w:jc w:val="center"/>
              <w:rPr>
                <w:rFonts w:hint="eastAsia" w:ascii="宋体" w:hAnsi="宋体"/>
                <w:sz w:val="24"/>
                <w:szCs w:val="24"/>
              </w:rPr>
            </w:pPr>
          </w:p>
        </w:tc>
        <w:tc>
          <w:tcPr>
            <w:tcW w:w="1173" w:type="dxa"/>
            <w:noWrap w:val="0"/>
            <w:vAlign w:val="top"/>
          </w:tcPr>
          <w:p w14:paraId="0A200B5C">
            <w:pPr>
              <w:spacing w:line="440" w:lineRule="exact"/>
              <w:jc w:val="center"/>
              <w:rPr>
                <w:rFonts w:hint="eastAsia" w:ascii="宋体" w:hAnsi="宋体"/>
                <w:sz w:val="24"/>
                <w:szCs w:val="24"/>
              </w:rPr>
            </w:pPr>
          </w:p>
        </w:tc>
      </w:tr>
    </w:tbl>
    <w:p w14:paraId="1B7F0F5A">
      <w:pPr>
        <w:spacing w:line="440" w:lineRule="exact"/>
        <w:rPr>
          <w:rFonts w:hint="eastAsia" w:ascii="宋体" w:hAnsi="宋体"/>
          <w:sz w:val="24"/>
          <w:szCs w:val="24"/>
        </w:rPr>
      </w:pPr>
      <w:r>
        <w:rPr>
          <w:rFonts w:hint="eastAsia" w:ascii="宋体" w:hAnsi="宋体"/>
          <w:sz w:val="24"/>
          <w:szCs w:val="24"/>
        </w:rPr>
        <w:t>注： 行数不够，可自行添加。</w:t>
      </w:r>
    </w:p>
    <w:p w14:paraId="38AA13E3">
      <w:pPr>
        <w:spacing w:line="440" w:lineRule="exact"/>
        <w:jc w:val="center"/>
        <w:rPr>
          <w:rFonts w:hint="eastAsia" w:ascii="黑体" w:hAnsi="Arial" w:eastAsia="黑体"/>
          <w:b/>
          <w:sz w:val="24"/>
          <w:szCs w:val="24"/>
        </w:rPr>
      </w:pPr>
    </w:p>
    <w:p w14:paraId="5870DFBE">
      <w:pPr>
        <w:spacing w:line="440" w:lineRule="exact"/>
        <w:jc w:val="center"/>
        <w:rPr>
          <w:rFonts w:hint="eastAsia" w:ascii="黑体" w:hAnsi="Arial" w:eastAsia="黑体"/>
          <w:b/>
          <w:sz w:val="24"/>
          <w:szCs w:val="24"/>
        </w:rPr>
      </w:pPr>
    </w:p>
    <w:p w14:paraId="425F963D">
      <w:pPr>
        <w:spacing w:line="440" w:lineRule="exact"/>
        <w:jc w:val="center"/>
        <w:rPr>
          <w:rFonts w:hint="eastAsia" w:ascii="黑体" w:hAnsi="Arial" w:eastAsia="黑体"/>
          <w:b/>
          <w:sz w:val="24"/>
          <w:szCs w:val="24"/>
        </w:rPr>
      </w:pPr>
    </w:p>
    <w:p w14:paraId="4561BFCC">
      <w:pPr>
        <w:spacing w:line="440" w:lineRule="exact"/>
        <w:jc w:val="center"/>
        <w:rPr>
          <w:rFonts w:hint="eastAsia" w:ascii="黑体" w:hAnsi="Arial" w:eastAsia="黑体"/>
          <w:b/>
          <w:sz w:val="24"/>
          <w:szCs w:val="24"/>
        </w:rPr>
      </w:pPr>
    </w:p>
    <w:p w14:paraId="569AAF28">
      <w:pPr>
        <w:spacing w:line="440" w:lineRule="exact"/>
        <w:rPr>
          <w:rFonts w:hint="eastAsia" w:ascii="黑体" w:hAnsi="Arial" w:eastAsia="黑体"/>
          <w:sz w:val="24"/>
          <w:szCs w:val="24"/>
        </w:rPr>
      </w:pPr>
    </w:p>
    <w:p w14:paraId="5DF6E5AC">
      <w:pPr>
        <w:spacing w:line="440" w:lineRule="exact"/>
        <w:rPr>
          <w:rFonts w:hint="eastAsia" w:ascii="黑体" w:hAnsi="Arial" w:eastAsia="黑体"/>
          <w:sz w:val="24"/>
          <w:szCs w:val="24"/>
        </w:rPr>
      </w:pPr>
    </w:p>
    <w:p w14:paraId="6C1CDA66">
      <w:pPr>
        <w:spacing w:line="440" w:lineRule="exact"/>
        <w:jc w:val="center"/>
        <w:rPr>
          <w:rFonts w:ascii="仿宋" w:hAnsi="仿宋" w:eastAsia="仿宋"/>
          <w:b/>
          <w:bCs/>
          <w:color w:val="auto"/>
          <w:sz w:val="36"/>
          <w:szCs w:val="36"/>
        </w:rPr>
      </w:pPr>
      <w:r>
        <w:rPr>
          <w:rFonts w:hint="eastAsia" w:ascii="黑体" w:hAnsi="Arial" w:eastAsia="黑体"/>
          <w:sz w:val="24"/>
          <w:szCs w:val="24"/>
        </w:rPr>
        <w:br w:type="page"/>
      </w:r>
      <w:bookmarkEnd w:id="218"/>
      <w:bookmarkStart w:id="222" w:name="_Hlt26955054"/>
      <w:bookmarkEnd w:id="222"/>
      <w:r>
        <w:rPr>
          <w:rFonts w:hint="eastAsia" w:ascii="黑体" w:hAnsi="黑体" w:eastAsia="黑体"/>
          <w:b/>
          <w:sz w:val="32"/>
          <w:szCs w:val="32"/>
        </w:rPr>
        <w:t>十</w:t>
      </w:r>
      <w:r>
        <w:rPr>
          <w:rFonts w:hint="eastAsia" w:ascii="黑体" w:hAnsi="黑体" w:eastAsia="黑体"/>
          <w:b/>
          <w:sz w:val="32"/>
          <w:szCs w:val="32"/>
          <w:lang w:val="en-US" w:eastAsia="zh-CN"/>
        </w:rPr>
        <w:t>三</w:t>
      </w:r>
      <w:r>
        <w:rPr>
          <w:rFonts w:hint="eastAsia" w:ascii="黑体" w:hAnsi="黑体" w:eastAsia="黑体"/>
          <w:b/>
          <w:sz w:val="32"/>
          <w:szCs w:val="32"/>
        </w:rPr>
        <w:t>、</w:t>
      </w:r>
      <w:bookmarkStart w:id="223" w:name="_Toc25723"/>
      <w:bookmarkStart w:id="224" w:name="_Toc1909"/>
      <w:bookmarkStart w:id="225" w:name="_Toc9822"/>
      <w:bookmarkStart w:id="226" w:name="_Toc12300"/>
      <w:bookmarkStart w:id="227" w:name="_Toc25698"/>
      <w:bookmarkStart w:id="228" w:name="_Toc29149"/>
      <w:bookmarkStart w:id="229" w:name="_Toc32102"/>
      <w:bookmarkStart w:id="230" w:name="_Toc29587"/>
      <w:bookmarkStart w:id="231" w:name="_Toc27326"/>
      <w:bookmarkStart w:id="232" w:name="_Toc25275"/>
      <w:bookmarkStart w:id="233" w:name="_Toc16629"/>
      <w:bookmarkStart w:id="234" w:name="_Toc20967"/>
      <w:r>
        <w:rPr>
          <w:rFonts w:ascii="仿宋" w:hAnsi="仿宋" w:eastAsia="仿宋"/>
          <w:b/>
          <w:bCs/>
          <w:color w:val="auto"/>
          <w:sz w:val="36"/>
          <w:szCs w:val="36"/>
        </w:rPr>
        <w:t>开标一览表（格式）</w:t>
      </w:r>
      <w:bookmarkEnd w:id="223"/>
      <w:bookmarkEnd w:id="224"/>
      <w:bookmarkEnd w:id="225"/>
      <w:bookmarkEnd w:id="226"/>
      <w:bookmarkEnd w:id="227"/>
      <w:bookmarkEnd w:id="228"/>
      <w:bookmarkEnd w:id="229"/>
      <w:bookmarkEnd w:id="230"/>
      <w:bookmarkEnd w:id="231"/>
      <w:bookmarkEnd w:id="232"/>
      <w:bookmarkEnd w:id="233"/>
      <w:bookmarkEnd w:id="234"/>
    </w:p>
    <w:p w14:paraId="49C2C223">
      <w:pPr>
        <w:pStyle w:val="3"/>
        <w:spacing w:line="480" w:lineRule="exact"/>
        <w:jc w:val="left"/>
        <w:rPr>
          <w:rFonts w:ascii="仿宋" w:hAnsi="仿宋" w:eastAsia="仿宋"/>
          <w:color w:val="auto"/>
          <w:sz w:val="28"/>
          <w:szCs w:val="28"/>
        </w:rPr>
      </w:pPr>
    </w:p>
    <w:p w14:paraId="1F6C659B">
      <w:pPr>
        <w:pStyle w:val="3"/>
        <w:spacing w:line="480" w:lineRule="exact"/>
        <w:jc w:val="left"/>
        <w:rPr>
          <w:rFonts w:ascii="仿宋" w:hAnsi="仿宋" w:eastAsia="仿宋"/>
          <w:color w:val="auto"/>
          <w:sz w:val="28"/>
          <w:szCs w:val="28"/>
        </w:rPr>
      </w:pPr>
      <w:r>
        <w:rPr>
          <w:rFonts w:hint="eastAsia" w:ascii="仿宋" w:hAnsi="仿宋" w:eastAsia="仿宋"/>
          <w:color w:val="auto"/>
          <w:sz w:val="28"/>
          <w:szCs w:val="28"/>
          <w:lang w:eastAsia="zh-CN"/>
        </w:rPr>
        <w:t>供应商</w:t>
      </w:r>
      <w:r>
        <w:rPr>
          <w:rFonts w:ascii="仿宋" w:hAnsi="仿宋" w:eastAsia="仿宋"/>
          <w:color w:val="auto"/>
          <w:sz w:val="28"/>
          <w:szCs w:val="28"/>
        </w:rPr>
        <w:t>名称：</w:t>
      </w:r>
    </w:p>
    <w:tbl>
      <w:tblPr>
        <w:tblStyle w:val="43"/>
        <w:tblW w:w="7203" w:type="dxa"/>
        <w:tblInd w:w="180" w:type="dxa"/>
        <w:tblLayout w:type="fixed"/>
        <w:tblCellMar>
          <w:top w:w="0" w:type="dxa"/>
          <w:left w:w="108" w:type="dxa"/>
          <w:bottom w:w="0" w:type="dxa"/>
          <w:right w:w="108" w:type="dxa"/>
        </w:tblCellMar>
      </w:tblPr>
      <w:tblGrid>
        <w:gridCol w:w="2385"/>
        <w:gridCol w:w="4818"/>
      </w:tblGrid>
      <w:tr w14:paraId="1E5E8850">
        <w:tblPrEx>
          <w:tblCellMar>
            <w:top w:w="0" w:type="dxa"/>
            <w:left w:w="108" w:type="dxa"/>
            <w:bottom w:w="0" w:type="dxa"/>
            <w:right w:w="108" w:type="dxa"/>
          </w:tblCellMar>
        </w:tblPrEx>
        <w:trPr>
          <w:trHeight w:val="473" w:hRule="atLeast"/>
        </w:trPr>
        <w:tc>
          <w:tcPr>
            <w:tcW w:w="2385" w:type="dxa"/>
            <w:tcBorders>
              <w:top w:val="single" w:color="000000" w:sz="4" w:space="0"/>
              <w:left w:val="single" w:color="000000" w:sz="4" w:space="0"/>
              <w:bottom w:val="single" w:color="000000" w:sz="4" w:space="0"/>
              <w:right w:val="single" w:color="000000" w:sz="4" w:space="0"/>
            </w:tcBorders>
            <w:noWrap w:val="0"/>
            <w:vAlign w:val="center"/>
          </w:tcPr>
          <w:p w14:paraId="2816EEA6">
            <w:pPr>
              <w:pStyle w:val="3"/>
              <w:spacing w:line="480" w:lineRule="exact"/>
              <w:jc w:val="center"/>
              <w:rPr>
                <w:rFonts w:ascii="仿宋" w:hAnsi="仿宋" w:eastAsia="仿宋"/>
                <w:color w:val="auto"/>
                <w:sz w:val="28"/>
                <w:szCs w:val="28"/>
              </w:rPr>
            </w:pPr>
            <w:r>
              <w:rPr>
                <w:rFonts w:ascii="仿宋" w:hAnsi="仿宋" w:eastAsia="仿宋"/>
                <w:color w:val="auto"/>
                <w:sz w:val="28"/>
                <w:szCs w:val="28"/>
              </w:rPr>
              <w:t>项目名称</w:t>
            </w:r>
          </w:p>
        </w:tc>
        <w:tc>
          <w:tcPr>
            <w:tcW w:w="4818" w:type="dxa"/>
            <w:tcBorders>
              <w:top w:val="single" w:color="000000" w:sz="4" w:space="0"/>
              <w:left w:val="nil"/>
              <w:bottom w:val="single" w:color="000000" w:sz="4" w:space="0"/>
              <w:right w:val="single" w:color="000000" w:sz="4" w:space="0"/>
            </w:tcBorders>
            <w:noWrap w:val="0"/>
            <w:vAlign w:val="bottom"/>
          </w:tcPr>
          <w:p w14:paraId="039F0002">
            <w:pPr>
              <w:pStyle w:val="3"/>
              <w:spacing w:line="480" w:lineRule="exact"/>
              <w:rPr>
                <w:rFonts w:ascii="仿宋" w:hAnsi="仿宋" w:eastAsia="仿宋"/>
                <w:color w:val="auto"/>
                <w:sz w:val="28"/>
                <w:szCs w:val="28"/>
              </w:rPr>
            </w:pPr>
          </w:p>
        </w:tc>
      </w:tr>
      <w:tr w14:paraId="6F5CD897">
        <w:tblPrEx>
          <w:tblCellMar>
            <w:top w:w="0" w:type="dxa"/>
            <w:left w:w="108" w:type="dxa"/>
            <w:bottom w:w="0" w:type="dxa"/>
            <w:right w:w="108" w:type="dxa"/>
          </w:tblCellMar>
        </w:tblPrEx>
        <w:trPr>
          <w:trHeight w:val="1871" w:hRule="atLeast"/>
        </w:trPr>
        <w:tc>
          <w:tcPr>
            <w:tcW w:w="2385" w:type="dxa"/>
            <w:tcBorders>
              <w:top w:val="nil"/>
              <w:left w:val="single" w:color="000000" w:sz="4" w:space="0"/>
              <w:bottom w:val="single" w:color="000000" w:sz="4" w:space="0"/>
              <w:right w:val="single" w:color="000000" w:sz="4" w:space="0"/>
            </w:tcBorders>
            <w:noWrap w:val="0"/>
            <w:vAlign w:val="center"/>
          </w:tcPr>
          <w:p w14:paraId="3FA3B2C1">
            <w:pPr>
              <w:pStyle w:val="7"/>
              <w:spacing w:line="360" w:lineRule="auto"/>
              <w:jc w:val="center"/>
              <w:rPr>
                <w:rFonts w:ascii="仿宋" w:hAnsi="仿宋" w:eastAsia="仿宋"/>
                <w:color w:val="auto"/>
                <w:sz w:val="28"/>
                <w:szCs w:val="28"/>
              </w:rPr>
            </w:pPr>
            <w:r>
              <w:rPr>
                <w:rFonts w:ascii="仿宋" w:hAnsi="仿宋" w:eastAsia="仿宋"/>
                <w:color w:val="auto"/>
                <w:sz w:val="28"/>
                <w:szCs w:val="28"/>
              </w:rPr>
              <w:t>投标响应总报价</w:t>
            </w:r>
          </w:p>
          <w:p w14:paraId="6A8350A3">
            <w:pPr>
              <w:pStyle w:val="7"/>
              <w:spacing w:line="360" w:lineRule="auto"/>
              <w:jc w:val="center"/>
              <w:rPr>
                <w:rFonts w:ascii="仿宋" w:hAnsi="仿宋" w:eastAsia="仿宋"/>
                <w:color w:val="auto"/>
                <w:sz w:val="28"/>
                <w:szCs w:val="28"/>
              </w:rPr>
            </w:pPr>
            <w:r>
              <w:rPr>
                <w:rFonts w:ascii="仿宋" w:hAnsi="仿宋" w:eastAsia="仿宋"/>
                <w:color w:val="auto"/>
                <w:sz w:val="28"/>
                <w:szCs w:val="28"/>
              </w:rPr>
              <w:t>（人民币）</w:t>
            </w:r>
          </w:p>
        </w:tc>
        <w:tc>
          <w:tcPr>
            <w:tcW w:w="4818" w:type="dxa"/>
            <w:tcBorders>
              <w:top w:val="nil"/>
              <w:left w:val="nil"/>
              <w:bottom w:val="single" w:color="000000" w:sz="4" w:space="0"/>
              <w:right w:val="single" w:color="000000" w:sz="4" w:space="0"/>
            </w:tcBorders>
            <w:noWrap w:val="0"/>
            <w:vAlign w:val="center"/>
          </w:tcPr>
          <w:p w14:paraId="6CC950CF">
            <w:pPr>
              <w:pStyle w:val="7"/>
              <w:spacing w:line="360" w:lineRule="auto"/>
              <w:rPr>
                <w:rFonts w:ascii="仿宋" w:hAnsi="仿宋" w:eastAsia="仿宋"/>
                <w:color w:val="auto"/>
                <w:sz w:val="28"/>
                <w:szCs w:val="28"/>
              </w:rPr>
            </w:pPr>
            <w:r>
              <w:rPr>
                <w:rFonts w:hint="eastAsia" w:ascii="仿宋" w:hAnsi="仿宋" w:eastAsia="仿宋"/>
                <w:color w:val="auto"/>
                <w:sz w:val="28"/>
                <w:szCs w:val="28"/>
              </w:rPr>
              <w:t>单年报价：（大写）     元/年（￥：   /年）</w:t>
            </w:r>
          </w:p>
          <w:p w14:paraId="6F947308">
            <w:pPr>
              <w:pStyle w:val="7"/>
              <w:spacing w:line="360" w:lineRule="auto"/>
              <w:rPr>
                <w:rFonts w:ascii="仿宋" w:hAnsi="仿宋" w:eastAsia="仿宋"/>
                <w:color w:val="auto"/>
                <w:sz w:val="28"/>
                <w:szCs w:val="28"/>
              </w:rPr>
            </w:pPr>
            <w:r>
              <w:rPr>
                <w:rFonts w:hint="eastAsia" w:ascii="仿宋" w:hAnsi="仿宋" w:eastAsia="仿宋"/>
                <w:color w:val="auto"/>
                <w:sz w:val="28"/>
                <w:szCs w:val="28"/>
                <w:lang w:val="en-US" w:eastAsia="zh-CN"/>
              </w:rPr>
              <w:t>二</w:t>
            </w:r>
            <w:r>
              <w:rPr>
                <w:rFonts w:hint="eastAsia" w:ascii="仿宋" w:hAnsi="仿宋" w:eastAsia="仿宋"/>
                <w:color w:val="auto"/>
                <w:sz w:val="28"/>
                <w:szCs w:val="28"/>
                <w:lang w:eastAsia="zh-CN"/>
              </w:rPr>
              <w:t>年</w:t>
            </w:r>
            <w:r>
              <w:rPr>
                <w:rFonts w:hint="eastAsia" w:ascii="仿宋" w:hAnsi="仿宋" w:eastAsia="仿宋"/>
                <w:color w:val="auto"/>
                <w:sz w:val="28"/>
                <w:szCs w:val="28"/>
              </w:rPr>
              <w:t>总报价：（大写）    元（￥：      ）</w:t>
            </w:r>
          </w:p>
        </w:tc>
      </w:tr>
      <w:tr w14:paraId="1791CF91">
        <w:tblPrEx>
          <w:tblCellMar>
            <w:top w:w="0" w:type="dxa"/>
            <w:left w:w="108" w:type="dxa"/>
            <w:bottom w:w="0" w:type="dxa"/>
            <w:right w:w="108" w:type="dxa"/>
          </w:tblCellMar>
        </w:tblPrEx>
        <w:trPr>
          <w:trHeight w:val="786" w:hRule="atLeast"/>
        </w:trPr>
        <w:tc>
          <w:tcPr>
            <w:tcW w:w="2385" w:type="dxa"/>
            <w:tcBorders>
              <w:top w:val="single" w:color="000000" w:sz="4" w:space="0"/>
              <w:left w:val="single" w:color="000000" w:sz="4" w:space="0"/>
              <w:bottom w:val="single" w:color="000000" w:sz="4" w:space="0"/>
              <w:right w:val="single" w:color="000000" w:sz="4" w:space="0"/>
            </w:tcBorders>
            <w:noWrap w:val="0"/>
            <w:vAlign w:val="center"/>
          </w:tcPr>
          <w:p w14:paraId="40EADDB1">
            <w:pPr>
              <w:pStyle w:val="3"/>
              <w:spacing w:line="480" w:lineRule="exact"/>
              <w:jc w:val="center"/>
              <w:rPr>
                <w:rFonts w:ascii="仿宋" w:hAnsi="仿宋" w:eastAsia="仿宋"/>
                <w:color w:val="auto"/>
                <w:sz w:val="28"/>
                <w:szCs w:val="28"/>
              </w:rPr>
            </w:pPr>
            <w:r>
              <w:rPr>
                <w:rFonts w:hint="eastAsia" w:ascii="仿宋" w:hAnsi="仿宋" w:eastAsia="仿宋"/>
                <w:color w:val="auto"/>
                <w:sz w:val="28"/>
                <w:szCs w:val="28"/>
              </w:rPr>
              <w:t>服务期限</w:t>
            </w:r>
          </w:p>
        </w:tc>
        <w:tc>
          <w:tcPr>
            <w:tcW w:w="4818" w:type="dxa"/>
            <w:tcBorders>
              <w:top w:val="single" w:color="000000" w:sz="4" w:space="0"/>
              <w:left w:val="single" w:color="000000" w:sz="4" w:space="0"/>
              <w:bottom w:val="single" w:color="000000" w:sz="4" w:space="0"/>
              <w:right w:val="single" w:color="000000" w:sz="4" w:space="0"/>
            </w:tcBorders>
            <w:noWrap w:val="0"/>
            <w:vAlign w:val="center"/>
          </w:tcPr>
          <w:p w14:paraId="20B8E502">
            <w:pPr>
              <w:pStyle w:val="3"/>
              <w:spacing w:line="480" w:lineRule="exact"/>
              <w:jc w:val="center"/>
              <w:rPr>
                <w:rFonts w:ascii="仿宋" w:hAnsi="仿宋" w:eastAsia="仿宋"/>
                <w:color w:val="auto"/>
                <w:sz w:val="28"/>
                <w:szCs w:val="28"/>
              </w:rPr>
            </w:pPr>
          </w:p>
        </w:tc>
      </w:tr>
      <w:tr w14:paraId="1A037265">
        <w:tblPrEx>
          <w:tblCellMar>
            <w:top w:w="0" w:type="dxa"/>
            <w:left w:w="108" w:type="dxa"/>
            <w:bottom w:w="0" w:type="dxa"/>
            <w:right w:w="108" w:type="dxa"/>
          </w:tblCellMar>
        </w:tblPrEx>
        <w:trPr>
          <w:trHeight w:val="636" w:hRule="atLeast"/>
        </w:trPr>
        <w:tc>
          <w:tcPr>
            <w:tcW w:w="2385" w:type="dxa"/>
            <w:tcBorders>
              <w:top w:val="single" w:color="000000" w:sz="4" w:space="0"/>
              <w:left w:val="single" w:color="000000" w:sz="4" w:space="0"/>
              <w:bottom w:val="single" w:color="000000" w:sz="4" w:space="0"/>
              <w:right w:val="single" w:color="000000" w:sz="4" w:space="0"/>
            </w:tcBorders>
            <w:noWrap w:val="0"/>
            <w:vAlign w:val="center"/>
          </w:tcPr>
          <w:p w14:paraId="272B9B49">
            <w:pPr>
              <w:pStyle w:val="3"/>
              <w:spacing w:line="480" w:lineRule="exact"/>
              <w:jc w:val="center"/>
              <w:rPr>
                <w:rFonts w:ascii="仿宋" w:hAnsi="仿宋" w:eastAsia="仿宋"/>
                <w:color w:val="auto"/>
                <w:sz w:val="28"/>
                <w:szCs w:val="28"/>
              </w:rPr>
            </w:pPr>
            <w:r>
              <w:rPr>
                <w:rFonts w:ascii="仿宋" w:hAnsi="仿宋" w:eastAsia="仿宋"/>
                <w:color w:val="auto"/>
                <w:sz w:val="28"/>
                <w:szCs w:val="28"/>
              </w:rPr>
              <w:t>项目负责人</w:t>
            </w:r>
          </w:p>
        </w:tc>
        <w:tc>
          <w:tcPr>
            <w:tcW w:w="4818" w:type="dxa"/>
            <w:tcBorders>
              <w:top w:val="single" w:color="000000" w:sz="4" w:space="0"/>
              <w:left w:val="single" w:color="000000" w:sz="4" w:space="0"/>
              <w:bottom w:val="single" w:color="000000" w:sz="4" w:space="0"/>
              <w:right w:val="single" w:color="000000" w:sz="4" w:space="0"/>
            </w:tcBorders>
            <w:noWrap w:val="0"/>
            <w:vAlign w:val="center"/>
          </w:tcPr>
          <w:p w14:paraId="6A024ADE">
            <w:pPr>
              <w:pStyle w:val="3"/>
              <w:spacing w:line="480" w:lineRule="exact"/>
              <w:jc w:val="center"/>
              <w:rPr>
                <w:rFonts w:ascii="仿宋" w:hAnsi="仿宋" w:eastAsia="仿宋"/>
                <w:color w:val="auto"/>
                <w:sz w:val="28"/>
                <w:szCs w:val="28"/>
              </w:rPr>
            </w:pPr>
          </w:p>
        </w:tc>
      </w:tr>
    </w:tbl>
    <w:p w14:paraId="3BE0F923">
      <w:pPr>
        <w:pStyle w:val="3"/>
        <w:spacing w:line="360" w:lineRule="auto"/>
        <w:rPr>
          <w:rFonts w:ascii="仿宋" w:hAnsi="仿宋" w:eastAsia="仿宋"/>
          <w:color w:val="auto"/>
          <w:sz w:val="28"/>
          <w:szCs w:val="28"/>
        </w:rPr>
      </w:pPr>
      <w:r>
        <w:rPr>
          <w:rFonts w:ascii="仿宋" w:hAnsi="仿宋" w:eastAsia="仿宋"/>
          <w:color w:val="auto"/>
          <w:sz w:val="28"/>
          <w:szCs w:val="28"/>
        </w:rPr>
        <w:t>注：1、投标响应总报价包括项目分项报价明细清单的总价及所有相关费用</w:t>
      </w:r>
      <w:r>
        <w:rPr>
          <w:rFonts w:ascii="仿宋" w:hAnsi="仿宋" w:eastAsia="仿宋"/>
          <w:b/>
          <w:bCs/>
          <w:color w:val="auto"/>
          <w:sz w:val="28"/>
          <w:szCs w:val="28"/>
        </w:rPr>
        <w:t>（推荐使用Google浏览器）。</w:t>
      </w:r>
    </w:p>
    <w:p w14:paraId="05DC2039">
      <w:pPr>
        <w:pStyle w:val="4"/>
        <w:rPr>
          <w:color w:val="auto"/>
        </w:rPr>
      </w:pPr>
    </w:p>
    <w:p w14:paraId="3A2E2359">
      <w:pPr>
        <w:pStyle w:val="3"/>
        <w:spacing w:line="360" w:lineRule="auto"/>
        <w:rPr>
          <w:rFonts w:ascii="仿宋" w:hAnsi="仿宋" w:eastAsia="仿宋"/>
          <w:color w:val="auto"/>
          <w:sz w:val="28"/>
          <w:szCs w:val="28"/>
        </w:rPr>
      </w:pPr>
      <w:r>
        <w:rPr>
          <w:rFonts w:hint="eastAsia" w:ascii="仿宋" w:hAnsi="仿宋" w:eastAsia="仿宋"/>
          <w:color w:val="auto"/>
          <w:sz w:val="28"/>
          <w:szCs w:val="28"/>
          <w:lang w:val="en-US" w:eastAsia="zh-CN"/>
        </w:rPr>
        <w:t>供应商</w:t>
      </w:r>
      <w:r>
        <w:rPr>
          <w:rFonts w:ascii="仿宋" w:hAnsi="仿宋" w:eastAsia="仿宋"/>
          <w:color w:val="auto"/>
          <w:sz w:val="28"/>
          <w:szCs w:val="28"/>
        </w:rPr>
        <w:t>名称（公章）：</w:t>
      </w:r>
    </w:p>
    <w:p w14:paraId="32AD3DD3">
      <w:pPr>
        <w:pStyle w:val="3"/>
        <w:spacing w:line="360" w:lineRule="auto"/>
        <w:rPr>
          <w:rFonts w:ascii="仿宋" w:hAnsi="仿宋" w:eastAsia="仿宋"/>
          <w:color w:val="auto"/>
          <w:sz w:val="28"/>
          <w:szCs w:val="28"/>
        </w:rPr>
      </w:pPr>
      <w:r>
        <w:rPr>
          <w:rFonts w:ascii="仿宋" w:hAnsi="仿宋" w:eastAsia="仿宋"/>
          <w:color w:val="auto"/>
          <w:sz w:val="28"/>
          <w:szCs w:val="28"/>
        </w:rPr>
        <w:t>授权代表（签字）：</w:t>
      </w:r>
    </w:p>
    <w:p w14:paraId="57B2C5A2">
      <w:pPr>
        <w:pStyle w:val="3"/>
        <w:spacing w:line="360" w:lineRule="auto"/>
        <w:rPr>
          <w:rFonts w:ascii="仿宋" w:hAnsi="仿宋" w:eastAsia="仿宋"/>
          <w:color w:val="auto"/>
          <w:sz w:val="28"/>
          <w:szCs w:val="28"/>
        </w:rPr>
      </w:pPr>
      <w:r>
        <w:rPr>
          <w:rFonts w:ascii="仿宋" w:hAnsi="仿宋" w:eastAsia="仿宋"/>
          <w:color w:val="auto"/>
          <w:sz w:val="28"/>
          <w:szCs w:val="28"/>
        </w:rPr>
        <w:t>联系电话：</w:t>
      </w:r>
    </w:p>
    <w:p w14:paraId="79B56267">
      <w:pPr>
        <w:pStyle w:val="3"/>
        <w:rPr>
          <w:color w:val="auto"/>
        </w:rPr>
      </w:pPr>
      <w:r>
        <w:rPr>
          <w:rFonts w:ascii="仿宋" w:hAnsi="仿宋" w:eastAsia="仿宋"/>
          <w:color w:val="auto"/>
          <w:sz w:val="28"/>
          <w:szCs w:val="28"/>
        </w:rPr>
        <w:t>日期：    年  月   日</w:t>
      </w:r>
    </w:p>
    <w:p w14:paraId="5945C751">
      <w:pPr>
        <w:pStyle w:val="3"/>
        <w:spacing w:line="480" w:lineRule="exact"/>
        <w:outlineLvl w:val="2"/>
        <w:rPr>
          <w:rFonts w:ascii="仿宋" w:hAnsi="仿宋" w:eastAsia="仿宋"/>
          <w:b/>
          <w:bCs/>
          <w:color w:val="auto"/>
          <w:sz w:val="36"/>
          <w:szCs w:val="36"/>
        </w:rPr>
      </w:pPr>
    </w:p>
    <w:p w14:paraId="76CC97D5">
      <w:pPr>
        <w:pStyle w:val="3"/>
        <w:spacing w:line="480" w:lineRule="exact"/>
        <w:jc w:val="center"/>
        <w:outlineLvl w:val="2"/>
        <w:rPr>
          <w:rFonts w:ascii="仿宋" w:hAnsi="仿宋" w:eastAsia="仿宋"/>
          <w:b/>
          <w:bCs/>
          <w:color w:val="auto"/>
          <w:sz w:val="36"/>
          <w:szCs w:val="36"/>
        </w:rPr>
      </w:pPr>
      <w:bookmarkStart w:id="235" w:name="_Toc28913"/>
      <w:bookmarkEnd w:id="235"/>
      <w:bookmarkStart w:id="236" w:name="_Toc4055"/>
      <w:bookmarkEnd w:id="236"/>
    </w:p>
    <w:p w14:paraId="6B5F5D15">
      <w:pPr>
        <w:spacing w:line="402" w:lineRule="atLeast"/>
        <w:jc w:val="center"/>
        <w:rPr>
          <w:rFonts w:hint="eastAsia" w:ascii="仿宋_GB2312" w:hAnsi="仿宋_GB2312" w:eastAsia="仿宋_GB2312" w:cs="仿宋_GB2312"/>
          <w:color w:val="auto"/>
          <w:sz w:val="36"/>
        </w:rPr>
      </w:pPr>
    </w:p>
    <w:p w14:paraId="4355AC62">
      <w:pPr>
        <w:spacing w:line="402" w:lineRule="atLeast"/>
        <w:jc w:val="center"/>
        <w:rPr>
          <w:rFonts w:hint="eastAsia" w:ascii="仿宋_GB2312" w:hAnsi="仿宋_GB2312" w:eastAsia="仿宋_GB2312" w:cs="仿宋_GB2312"/>
          <w:color w:val="auto"/>
          <w:sz w:val="36"/>
        </w:rPr>
      </w:pPr>
    </w:p>
    <w:p w14:paraId="1DFD56EC">
      <w:pPr>
        <w:pStyle w:val="7"/>
        <w:rPr>
          <w:rFonts w:hint="eastAsia" w:ascii="仿宋_GB2312" w:hAnsi="仿宋_GB2312" w:eastAsia="仿宋_GB2312" w:cs="仿宋_GB2312"/>
          <w:color w:val="auto"/>
          <w:sz w:val="36"/>
        </w:rPr>
      </w:pPr>
    </w:p>
    <w:p w14:paraId="73BA2CF5">
      <w:pPr>
        <w:pStyle w:val="8"/>
        <w:rPr>
          <w:rFonts w:hint="eastAsia"/>
        </w:rPr>
      </w:pPr>
    </w:p>
    <w:p w14:paraId="6CA5429F">
      <w:pPr>
        <w:pStyle w:val="3"/>
        <w:spacing w:line="480" w:lineRule="exact"/>
        <w:jc w:val="center"/>
        <w:outlineLvl w:val="2"/>
        <w:rPr>
          <w:rFonts w:hint="eastAsia" w:ascii="仿宋" w:hAnsi="仿宋" w:eastAsia="仿宋"/>
          <w:b/>
          <w:bCs/>
          <w:color w:val="auto"/>
          <w:sz w:val="36"/>
          <w:szCs w:val="36"/>
          <w:lang w:val="en-US" w:eastAsia="zh-CN"/>
        </w:rPr>
      </w:pPr>
    </w:p>
    <w:p w14:paraId="1C62FE44">
      <w:pPr>
        <w:pStyle w:val="3"/>
        <w:spacing w:line="480" w:lineRule="exact"/>
        <w:jc w:val="center"/>
        <w:outlineLvl w:val="2"/>
        <w:rPr>
          <w:rFonts w:hint="eastAsia" w:ascii="仿宋" w:hAnsi="仿宋" w:eastAsia="仿宋"/>
          <w:b/>
          <w:bCs/>
          <w:color w:val="auto"/>
          <w:sz w:val="36"/>
          <w:szCs w:val="36"/>
          <w:lang w:val="en-US" w:eastAsia="zh-CN"/>
        </w:rPr>
      </w:pPr>
    </w:p>
    <w:p w14:paraId="58E78E43">
      <w:pPr>
        <w:pStyle w:val="3"/>
        <w:spacing w:line="480" w:lineRule="exact"/>
        <w:jc w:val="center"/>
        <w:outlineLvl w:val="2"/>
        <w:rPr>
          <w:rFonts w:hint="eastAsia" w:ascii="黑体" w:hAnsi="黑体" w:eastAsia="黑体" w:cs="Times New Roman"/>
          <w:b/>
          <w:sz w:val="32"/>
          <w:szCs w:val="32"/>
          <w:lang w:val="en-US" w:eastAsia="zh-CN" w:bidi="ar-SA"/>
        </w:rPr>
      </w:pPr>
      <w:r>
        <w:rPr>
          <w:rFonts w:hint="eastAsia" w:ascii="黑体" w:hAnsi="黑体" w:eastAsia="黑体" w:cs="Times New Roman"/>
          <w:b/>
          <w:sz w:val="32"/>
          <w:szCs w:val="32"/>
          <w:lang w:val="en-US" w:eastAsia="zh-CN" w:bidi="ar-SA"/>
        </w:rPr>
        <w:t>十四、报价明细表</w:t>
      </w:r>
    </w:p>
    <w:tbl>
      <w:tblPr>
        <w:tblStyle w:val="43"/>
        <w:tblW w:w="78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6"/>
        <w:gridCol w:w="2553"/>
        <w:gridCol w:w="2127"/>
        <w:gridCol w:w="2010"/>
      </w:tblGrid>
      <w:tr w14:paraId="0FCD9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exact"/>
          <w:jc w:val="center"/>
        </w:trPr>
        <w:tc>
          <w:tcPr>
            <w:tcW w:w="1196" w:type="dxa"/>
            <w:noWrap w:val="0"/>
            <w:vAlign w:val="center"/>
          </w:tcPr>
          <w:p w14:paraId="77B1F301">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553" w:type="dxa"/>
            <w:noWrap w:val="0"/>
            <w:vAlign w:val="center"/>
          </w:tcPr>
          <w:p w14:paraId="7CCA33E6">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p>
        </w:tc>
        <w:tc>
          <w:tcPr>
            <w:tcW w:w="2127" w:type="dxa"/>
            <w:noWrap w:val="0"/>
            <w:vAlign w:val="center"/>
          </w:tcPr>
          <w:p w14:paraId="6F844E1F">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具体项目内容</w:t>
            </w:r>
          </w:p>
        </w:tc>
        <w:tc>
          <w:tcPr>
            <w:tcW w:w="2010" w:type="dxa"/>
            <w:noWrap w:val="0"/>
            <w:vAlign w:val="center"/>
          </w:tcPr>
          <w:p w14:paraId="4762C746">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（元/年）</w:t>
            </w:r>
          </w:p>
        </w:tc>
      </w:tr>
      <w:tr w14:paraId="6A6E4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196" w:type="dxa"/>
            <w:noWrap w:val="0"/>
            <w:vAlign w:val="center"/>
          </w:tcPr>
          <w:p w14:paraId="329E3126">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553" w:type="dxa"/>
            <w:noWrap w:val="0"/>
            <w:vAlign w:val="center"/>
          </w:tcPr>
          <w:p w14:paraId="2BFE2E4E">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人员工资费用</w:t>
            </w:r>
          </w:p>
        </w:tc>
        <w:tc>
          <w:tcPr>
            <w:tcW w:w="2127" w:type="dxa"/>
            <w:noWrap w:val="0"/>
            <w:vAlign w:val="center"/>
          </w:tcPr>
          <w:p w14:paraId="3B9A794A">
            <w:pPr>
              <w:jc w:val="center"/>
              <w:rPr>
                <w:rFonts w:ascii="仿宋_GB2312" w:hAnsi="仿宋_GB2312" w:eastAsia="仿宋_GB2312" w:cs="仿宋_GB2312"/>
                <w:color w:val="auto"/>
                <w:sz w:val="28"/>
                <w:szCs w:val="28"/>
              </w:rPr>
            </w:pPr>
          </w:p>
        </w:tc>
        <w:tc>
          <w:tcPr>
            <w:tcW w:w="2010" w:type="dxa"/>
            <w:noWrap w:val="0"/>
            <w:vAlign w:val="center"/>
          </w:tcPr>
          <w:p w14:paraId="621BFE57">
            <w:pPr>
              <w:jc w:val="center"/>
              <w:rPr>
                <w:rFonts w:ascii="仿宋_GB2312" w:hAnsi="仿宋_GB2312" w:eastAsia="仿宋_GB2312" w:cs="仿宋_GB2312"/>
                <w:color w:val="auto"/>
                <w:sz w:val="28"/>
                <w:szCs w:val="28"/>
              </w:rPr>
            </w:pPr>
          </w:p>
        </w:tc>
      </w:tr>
      <w:tr w14:paraId="77BB6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196" w:type="dxa"/>
            <w:noWrap w:val="0"/>
            <w:vAlign w:val="center"/>
          </w:tcPr>
          <w:p w14:paraId="5E2C8BB7">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553" w:type="dxa"/>
            <w:noWrap w:val="0"/>
            <w:vAlign w:val="center"/>
          </w:tcPr>
          <w:p w14:paraId="184ADAF9">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车辆费用</w:t>
            </w:r>
          </w:p>
        </w:tc>
        <w:tc>
          <w:tcPr>
            <w:tcW w:w="2127" w:type="dxa"/>
            <w:noWrap w:val="0"/>
            <w:vAlign w:val="center"/>
          </w:tcPr>
          <w:p w14:paraId="7C71C84E">
            <w:pPr>
              <w:jc w:val="center"/>
              <w:rPr>
                <w:rFonts w:ascii="仿宋_GB2312" w:hAnsi="仿宋_GB2312" w:eastAsia="仿宋_GB2312" w:cs="仿宋_GB2312"/>
                <w:color w:val="auto"/>
                <w:sz w:val="28"/>
                <w:szCs w:val="28"/>
              </w:rPr>
            </w:pPr>
          </w:p>
        </w:tc>
        <w:tc>
          <w:tcPr>
            <w:tcW w:w="2010" w:type="dxa"/>
            <w:noWrap w:val="0"/>
            <w:vAlign w:val="center"/>
          </w:tcPr>
          <w:p w14:paraId="702B7D33">
            <w:pPr>
              <w:jc w:val="center"/>
              <w:rPr>
                <w:rFonts w:ascii="仿宋_GB2312" w:hAnsi="仿宋_GB2312" w:eastAsia="仿宋_GB2312" w:cs="仿宋_GB2312"/>
                <w:color w:val="auto"/>
                <w:sz w:val="28"/>
                <w:szCs w:val="28"/>
              </w:rPr>
            </w:pPr>
          </w:p>
        </w:tc>
      </w:tr>
      <w:tr w14:paraId="62865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196" w:type="dxa"/>
            <w:noWrap w:val="0"/>
            <w:vAlign w:val="center"/>
          </w:tcPr>
          <w:p w14:paraId="43DD62BA">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553" w:type="dxa"/>
            <w:noWrap w:val="0"/>
            <w:vAlign w:val="center"/>
          </w:tcPr>
          <w:p w14:paraId="5E08348E">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GPS安装费</w:t>
            </w:r>
          </w:p>
        </w:tc>
        <w:tc>
          <w:tcPr>
            <w:tcW w:w="2127" w:type="dxa"/>
            <w:noWrap w:val="0"/>
            <w:vAlign w:val="center"/>
          </w:tcPr>
          <w:p w14:paraId="33D29D22">
            <w:pPr>
              <w:jc w:val="center"/>
              <w:rPr>
                <w:rFonts w:ascii="仿宋_GB2312" w:hAnsi="仿宋_GB2312" w:eastAsia="仿宋_GB2312" w:cs="仿宋_GB2312"/>
                <w:color w:val="auto"/>
                <w:sz w:val="28"/>
                <w:szCs w:val="28"/>
              </w:rPr>
            </w:pPr>
          </w:p>
        </w:tc>
        <w:tc>
          <w:tcPr>
            <w:tcW w:w="2010" w:type="dxa"/>
            <w:noWrap w:val="0"/>
            <w:vAlign w:val="center"/>
          </w:tcPr>
          <w:p w14:paraId="1D2ABA0E">
            <w:pPr>
              <w:jc w:val="center"/>
              <w:rPr>
                <w:rFonts w:ascii="仿宋_GB2312" w:hAnsi="仿宋_GB2312" w:eastAsia="仿宋_GB2312" w:cs="仿宋_GB2312"/>
                <w:color w:val="auto"/>
                <w:sz w:val="28"/>
                <w:szCs w:val="28"/>
              </w:rPr>
            </w:pPr>
          </w:p>
        </w:tc>
      </w:tr>
      <w:tr w14:paraId="3AAC8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196" w:type="dxa"/>
            <w:noWrap w:val="0"/>
            <w:vAlign w:val="center"/>
          </w:tcPr>
          <w:p w14:paraId="5BAF1457">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2553" w:type="dxa"/>
            <w:noWrap w:val="0"/>
            <w:vAlign w:val="center"/>
          </w:tcPr>
          <w:p w14:paraId="6F7C92EA">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环卫工作服费</w:t>
            </w:r>
          </w:p>
        </w:tc>
        <w:tc>
          <w:tcPr>
            <w:tcW w:w="2127" w:type="dxa"/>
            <w:noWrap w:val="0"/>
            <w:vAlign w:val="center"/>
          </w:tcPr>
          <w:p w14:paraId="486AB928">
            <w:pPr>
              <w:jc w:val="center"/>
              <w:rPr>
                <w:rFonts w:ascii="仿宋_GB2312" w:hAnsi="仿宋_GB2312" w:eastAsia="仿宋_GB2312" w:cs="仿宋_GB2312"/>
                <w:color w:val="auto"/>
                <w:sz w:val="28"/>
                <w:szCs w:val="28"/>
              </w:rPr>
            </w:pPr>
          </w:p>
        </w:tc>
        <w:tc>
          <w:tcPr>
            <w:tcW w:w="2010" w:type="dxa"/>
            <w:noWrap w:val="0"/>
            <w:vAlign w:val="center"/>
          </w:tcPr>
          <w:p w14:paraId="5F9771F3">
            <w:pPr>
              <w:jc w:val="center"/>
              <w:rPr>
                <w:rFonts w:ascii="仿宋_GB2312" w:hAnsi="仿宋_GB2312" w:eastAsia="仿宋_GB2312" w:cs="仿宋_GB2312"/>
                <w:color w:val="auto"/>
                <w:sz w:val="28"/>
                <w:szCs w:val="28"/>
              </w:rPr>
            </w:pPr>
          </w:p>
        </w:tc>
      </w:tr>
      <w:tr w14:paraId="26F6E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196" w:type="dxa"/>
            <w:noWrap w:val="0"/>
            <w:vAlign w:val="center"/>
          </w:tcPr>
          <w:p w14:paraId="1C363058">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2553" w:type="dxa"/>
            <w:noWrap w:val="0"/>
            <w:vAlign w:val="center"/>
          </w:tcPr>
          <w:p w14:paraId="2151C235">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保洁工具费</w:t>
            </w:r>
          </w:p>
        </w:tc>
        <w:tc>
          <w:tcPr>
            <w:tcW w:w="2127" w:type="dxa"/>
            <w:noWrap w:val="0"/>
            <w:vAlign w:val="center"/>
          </w:tcPr>
          <w:p w14:paraId="3AA8D909">
            <w:pPr>
              <w:jc w:val="center"/>
              <w:rPr>
                <w:rFonts w:ascii="仿宋_GB2312" w:hAnsi="仿宋_GB2312" w:eastAsia="仿宋_GB2312" w:cs="仿宋_GB2312"/>
                <w:color w:val="auto"/>
                <w:sz w:val="28"/>
                <w:szCs w:val="28"/>
              </w:rPr>
            </w:pPr>
          </w:p>
        </w:tc>
        <w:tc>
          <w:tcPr>
            <w:tcW w:w="2010" w:type="dxa"/>
            <w:noWrap w:val="0"/>
            <w:vAlign w:val="center"/>
          </w:tcPr>
          <w:p w14:paraId="714A1836">
            <w:pPr>
              <w:jc w:val="center"/>
              <w:rPr>
                <w:rFonts w:ascii="仿宋_GB2312" w:hAnsi="仿宋_GB2312" w:eastAsia="仿宋_GB2312" w:cs="仿宋_GB2312"/>
                <w:color w:val="auto"/>
                <w:sz w:val="28"/>
                <w:szCs w:val="28"/>
              </w:rPr>
            </w:pPr>
          </w:p>
        </w:tc>
      </w:tr>
      <w:tr w14:paraId="7597B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196" w:type="dxa"/>
            <w:noWrap w:val="0"/>
            <w:vAlign w:val="center"/>
          </w:tcPr>
          <w:p w14:paraId="3418E58D">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2553" w:type="dxa"/>
            <w:noWrap w:val="0"/>
            <w:vAlign w:val="center"/>
          </w:tcPr>
          <w:p w14:paraId="2FD16908">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保洁材料费</w:t>
            </w:r>
          </w:p>
        </w:tc>
        <w:tc>
          <w:tcPr>
            <w:tcW w:w="2127" w:type="dxa"/>
            <w:noWrap w:val="0"/>
            <w:vAlign w:val="center"/>
          </w:tcPr>
          <w:p w14:paraId="3B877D92">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c>
          <w:tcPr>
            <w:tcW w:w="2010" w:type="dxa"/>
            <w:noWrap w:val="0"/>
            <w:vAlign w:val="center"/>
          </w:tcPr>
          <w:p w14:paraId="7FB24259">
            <w:pPr>
              <w:jc w:val="center"/>
              <w:rPr>
                <w:rFonts w:ascii="仿宋_GB2312" w:hAnsi="仿宋_GB2312" w:eastAsia="仿宋_GB2312" w:cs="仿宋_GB2312"/>
                <w:color w:val="auto"/>
                <w:sz w:val="28"/>
                <w:szCs w:val="28"/>
              </w:rPr>
            </w:pPr>
          </w:p>
        </w:tc>
      </w:tr>
      <w:tr w14:paraId="6D670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exact"/>
          <w:jc w:val="center"/>
        </w:trPr>
        <w:tc>
          <w:tcPr>
            <w:tcW w:w="1196" w:type="dxa"/>
            <w:noWrap w:val="0"/>
            <w:vAlign w:val="center"/>
          </w:tcPr>
          <w:p w14:paraId="1B343DE5">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2553" w:type="dxa"/>
            <w:noWrap w:val="0"/>
            <w:vAlign w:val="center"/>
          </w:tcPr>
          <w:p w14:paraId="7752306E">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管理费</w:t>
            </w:r>
          </w:p>
        </w:tc>
        <w:tc>
          <w:tcPr>
            <w:tcW w:w="2127" w:type="dxa"/>
            <w:noWrap w:val="0"/>
            <w:vAlign w:val="center"/>
          </w:tcPr>
          <w:p w14:paraId="176F5627">
            <w:pPr>
              <w:jc w:val="center"/>
              <w:rPr>
                <w:rFonts w:ascii="仿宋_GB2312" w:hAnsi="仿宋_GB2312" w:eastAsia="仿宋_GB2312" w:cs="仿宋_GB2312"/>
                <w:color w:val="auto"/>
                <w:sz w:val="28"/>
                <w:szCs w:val="28"/>
              </w:rPr>
            </w:pPr>
          </w:p>
        </w:tc>
        <w:tc>
          <w:tcPr>
            <w:tcW w:w="2010" w:type="dxa"/>
            <w:noWrap w:val="0"/>
            <w:vAlign w:val="center"/>
          </w:tcPr>
          <w:p w14:paraId="2A553AEC">
            <w:pPr>
              <w:jc w:val="center"/>
              <w:rPr>
                <w:rFonts w:ascii="仿宋_GB2312" w:hAnsi="仿宋_GB2312" w:eastAsia="仿宋_GB2312" w:cs="仿宋_GB2312"/>
                <w:color w:val="auto"/>
                <w:sz w:val="28"/>
                <w:szCs w:val="28"/>
              </w:rPr>
            </w:pPr>
          </w:p>
        </w:tc>
      </w:tr>
      <w:tr w14:paraId="6D206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196" w:type="dxa"/>
            <w:noWrap w:val="0"/>
            <w:vAlign w:val="center"/>
          </w:tcPr>
          <w:p w14:paraId="687AEE78">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553" w:type="dxa"/>
            <w:noWrap w:val="0"/>
            <w:vAlign w:val="center"/>
          </w:tcPr>
          <w:p w14:paraId="618CD064">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税金、利润及其它</w:t>
            </w:r>
          </w:p>
        </w:tc>
        <w:tc>
          <w:tcPr>
            <w:tcW w:w="2127" w:type="dxa"/>
            <w:noWrap w:val="0"/>
            <w:vAlign w:val="center"/>
          </w:tcPr>
          <w:p w14:paraId="1BBAE569">
            <w:pPr>
              <w:jc w:val="center"/>
              <w:rPr>
                <w:rFonts w:ascii="仿宋_GB2312" w:hAnsi="仿宋_GB2312" w:eastAsia="仿宋_GB2312" w:cs="仿宋_GB2312"/>
                <w:color w:val="auto"/>
                <w:sz w:val="28"/>
                <w:szCs w:val="28"/>
              </w:rPr>
            </w:pPr>
          </w:p>
        </w:tc>
        <w:tc>
          <w:tcPr>
            <w:tcW w:w="2010" w:type="dxa"/>
            <w:noWrap w:val="0"/>
            <w:vAlign w:val="center"/>
          </w:tcPr>
          <w:p w14:paraId="7827E86F">
            <w:pPr>
              <w:jc w:val="center"/>
              <w:rPr>
                <w:rFonts w:ascii="仿宋_GB2312" w:hAnsi="仿宋_GB2312" w:eastAsia="仿宋_GB2312" w:cs="仿宋_GB2312"/>
                <w:color w:val="auto"/>
                <w:sz w:val="28"/>
                <w:szCs w:val="28"/>
              </w:rPr>
            </w:pPr>
          </w:p>
        </w:tc>
      </w:tr>
      <w:tr w14:paraId="79E7F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196" w:type="dxa"/>
            <w:noWrap w:val="0"/>
            <w:vAlign w:val="center"/>
          </w:tcPr>
          <w:p w14:paraId="1B8F7EC8">
            <w:pPr>
              <w:jc w:val="center"/>
              <w:rPr>
                <w:rFonts w:ascii="仿宋_GB2312" w:hAnsi="仿宋_GB2312" w:eastAsia="仿宋_GB2312" w:cs="仿宋_GB2312"/>
                <w:color w:val="auto"/>
                <w:sz w:val="28"/>
                <w:szCs w:val="28"/>
              </w:rPr>
            </w:pPr>
          </w:p>
        </w:tc>
        <w:tc>
          <w:tcPr>
            <w:tcW w:w="2553" w:type="dxa"/>
            <w:noWrap w:val="0"/>
            <w:vAlign w:val="center"/>
          </w:tcPr>
          <w:p w14:paraId="10FEB8FC">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127" w:type="dxa"/>
            <w:noWrap w:val="0"/>
            <w:vAlign w:val="center"/>
          </w:tcPr>
          <w:p w14:paraId="1BE43422">
            <w:pPr>
              <w:jc w:val="center"/>
              <w:rPr>
                <w:rFonts w:ascii="仿宋_GB2312" w:hAnsi="仿宋_GB2312" w:eastAsia="仿宋_GB2312" w:cs="仿宋_GB2312"/>
                <w:color w:val="auto"/>
                <w:sz w:val="28"/>
                <w:szCs w:val="28"/>
              </w:rPr>
            </w:pPr>
          </w:p>
        </w:tc>
        <w:tc>
          <w:tcPr>
            <w:tcW w:w="2010" w:type="dxa"/>
            <w:noWrap w:val="0"/>
            <w:vAlign w:val="center"/>
          </w:tcPr>
          <w:p w14:paraId="735FEBDF">
            <w:pPr>
              <w:jc w:val="center"/>
              <w:rPr>
                <w:rFonts w:ascii="仿宋_GB2312" w:hAnsi="仿宋_GB2312" w:eastAsia="仿宋_GB2312" w:cs="仿宋_GB2312"/>
                <w:color w:val="auto"/>
                <w:sz w:val="28"/>
                <w:szCs w:val="28"/>
              </w:rPr>
            </w:pPr>
          </w:p>
        </w:tc>
      </w:tr>
      <w:tr w14:paraId="25AD9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876" w:type="dxa"/>
            <w:gridSpan w:val="3"/>
            <w:noWrap w:val="0"/>
            <w:vAlign w:val="center"/>
          </w:tcPr>
          <w:p w14:paraId="349FD6C3">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总报价</w:t>
            </w:r>
          </w:p>
        </w:tc>
        <w:tc>
          <w:tcPr>
            <w:tcW w:w="2010" w:type="dxa"/>
            <w:noWrap w:val="0"/>
            <w:vAlign w:val="center"/>
          </w:tcPr>
          <w:p w14:paraId="14D3D7FF">
            <w:pPr>
              <w:jc w:val="center"/>
              <w:rPr>
                <w:rFonts w:ascii="仿宋_GB2312" w:hAnsi="仿宋_GB2312" w:eastAsia="仿宋_GB2312" w:cs="仿宋_GB2312"/>
                <w:color w:val="auto"/>
                <w:sz w:val="28"/>
                <w:szCs w:val="28"/>
              </w:rPr>
            </w:pPr>
          </w:p>
        </w:tc>
      </w:tr>
    </w:tbl>
    <w:p w14:paraId="1764B10A">
      <w:pPr>
        <w:pStyle w:val="22"/>
        <w:spacing w:line="360" w:lineRule="exact"/>
        <w:rPr>
          <w:rFonts w:ascii="仿宋_GB2312" w:hAnsi="仿宋_GB2312" w:eastAsia="仿宋_GB2312" w:cs="仿宋_GB2312"/>
          <w:b/>
          <w:color w:val="auto"/>
          <w:szCs w:val="28"/>
        </w:rPr>
      </w:pPr>
    </w:p>
    <w:p w14:paraId="0029E023">
      <w:pPr>
        <w:pStyle w:val="22"/>
        <w:spacing w:line="360" w:lineRule="exact"/>
        <w:ind w:firstLine="420"/>
        <w:jc w:val="both"/>
        <w:rPr>
          <w:rFonts w:ascii="仿宋_GB2312" w:hAnsi="仿宋_GB2312" w:eastAsia="仿宋_GB2312" w:cs="仿宋_GB2312"/>
          <w:b/>
          <w:color w:val="auto"/>
          <w:szCs w:val="28"/>
        </w:rPr>
      </w:pPr>
      <w:r>
        <w:rPr>
          <w:rFonts w:hint="eastAsia" w:ascii="仿宋_GB2312" w:hAnsi="仿宋_GB2312" w:eastAsia="仿宋_GB2312" w:cs="仿宋_GB2312"/>
          <w:b/>
          <w:color w:val="auto"/>
          <w:szCs w:val="28"/>
        </w:rPr>
        <w:t>注：上述表中包括但不限于：</w:t>
      </w:r>
      <w:r>
        <w:rPr>
          <w:rFonts w:hint="eastAsia" w:ascii="仿宋_GB2312" w:hAnsi="仿宋_GB2312" w:eastAsia="仿宋_GB2312" w:cs="仿宋_GB2312"/>
          <w:b/>
          <w:color w:val="auto"/>
          <w:szCs w:val="28"/>
          <w:u w:val="single"/>
        </w:rPr>
        <w:t>人员工资（含根据社保规定缴纳的社会保险费、高温费、福利费、劳保用品费用等）、车辆费用、GPS安装费、环卫工作服费、水费、保洁工具费、保洁材料费（消毒药水、清洗剂、涂料等）、管理费(含工作人员意外保险费、事故处理费、资料费、公证费等)、税金、利润等一切费用</w:t>
      </w:r>
      <w:r>
        <w:rPr>
          <w:rFonts w:hint="eastAsia" w:ascii="仿宋_GB2312" w:hAnsi="仿宋_GB2312" w:eastAsia="仿宋_GB2312" w:cs="仿宋_GB2312"/>
          <w:b/>
          <w:color w:val="auto"/>
          <w:szCs w:val="28"/>
        </w:rPr>
        <w:t>。</w:t>
      </w:r>
      <w:r>
        <w:rPr>
          <w:rFonts w:hint="eastAsia" w:ascii="仿宋_GB2312" w:hAnsi="仿宋_GB2312" w:eastAsia="仿宋_GB2312" w:cs="仿宋_GB2312"/>
          <w:b/>
          <w:color w:val="auto"/>
          <w:szCs w:val="28"/>
          <w:lang w:eastAsia="zh-CN"/>
        </w:rPr>
        <w:t>供应商</w:t>
      </w:r>
      <w:r>
        <w:rPr>
          <w:rFonts w:hint="eastAsia" w:ascii="仿宋_GB2312" w:hAnsi="仿宋_GB2312" w:eastAsia="仿宋_GB2312" w:cs="仿宋_GB2312"/>
          <w:b/>
          <w:color w:val="auto"/>
          <w:szCs w:val="28"/>
        </w:rPr>
        <w:t>可根据需要和可能的原则编制各项经费支出，除上述既定项目外可自拟名目，</w:t>
      </w:r>
      <w:r>
        <w:rPr>
          <w:rFonts w:hint="eastAsia" w:ascii="仿宋_GB2312" w:hAnsi="仿宋_GB2312" w:eastAsia="仿宋_GB2312" w:cs="仿宋_GB2312"/>
          <w:b/>
          <w:bCs/>
          <w:color w:val="auto"/>
          <w:szCs w:val="28"/>
        </w:rPr>
        <w:t>行数不够请自行添加</w:t>
      </w:r>
      <w:r>
        <w:rPr>
          <w:rFonts w:hint="eastAsia" w:ascii="仿宋_GB2312" w:hAnsi="仿宋_GB2312" w:eastAsia="仿宋_GB2312" w:cs="仿宋_GB2312"/>
          <w:b/>
          <w:color w:val="auto"/>
          <w:szCs w:val="28"/>
        </w:rPr>
        <w:t>。</w:t>
      </w:r>
    </w:p>
    <w:p w14:paraId="2F69676C">
      <w:pPr>
        <w:spacing w:line="360" w:lineRule="auto"/>
        <w:jc w:val="righ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w:t>
      </w:r>
    </w:p>
    <w:p w14:paraId="71EE184A">
      <w:pPr>
        <w:spacing w:line="360" w:lineRule="auto"/>
        <w:rPr>
          <w:rFonts w:hint="eastAsia" w:ascii="仿宋_GB2312" w:hAnsi="Arial"/>
          <w:sz w:val="24"/>
          <w:szCs w:val="24"/>
        </w:rPr>
      </w:pPr>
      <w:r>
        <w:rPr>
          <w:rFonts w:hint="eastAsia" w:ascii="仿宋_GB2312" w:hAnsi="仿宋_GB2312" w:eastAsia="仿宋_GB2312" w:cs="仿宋_GB2312"/>
          <w:b/>
          <w:color w:val="auto"/>
          <w:sz w:val="28"/>
          <w:szCs w:val="28"/>
        </w:rPr>
        <w:t>日期：    年  月  日</w:t>
      </w:r>
    </w:p>
    <w:p w14:paraId="01726B7E">
      <w:pPr>
        <w:spacing w:line="440" w:lineRule="exact"/>
        <w:rPr>
          <w:rFonts w:hint="eastAsia" w:ascii="宋体" w:hAnsi="宋体"/>
          <w:sz w:val="24"/>
          <w:szCs w:val="24"/>
        </w:rPr>
      </w:pPr>
      <w:bookmarkStart w:id="237" w:name="_Hlt26955066"/>
      <w:bookmarkEnd w:id="237"/>
      <w:bookmarkStart w:id="238" w:name="_Hlt26609389"/>
      <w:bookmarkEnd w:id="238"/>
      <w:bookmarkStart w:id="239" w:name="_Hlt26671374"/>
      <w:bookmarkEnd w:id="239"/>
      <w:bookmarkStart w:id="240" w:name="_Toc462564146"/>
    </w:p>
    <w:bookmarkEnd w:id="240"/>
    <w:p w14:paraId="4A577E6E">
      <w:pPr>
        <w:spacing w:line="440" w:lineRule="exact"/>
        <w:jc w:val="center"/>
        <w:rPr>
          <w:rFonts w:hint="eastAsia" w:ascii="黑体" w:hAnsi="黑体" w:eastAsia="黑体"/>
          <w:b/>
          <w:sz w:val="24"/>
          <w:szCs w:val="24"/>
        </w:rPr>
      </w:pPr>
      <w:bookmarkStart w:id="241" w:name="_格式2__法定代表人授权书"/>
      <w:bookmarkEnd w:id="241"/>
    </w:p>
    <w:p w14:paraId="249DCDC8">
      <w:pPr>
        <w:spacing w:line="440" w:lineRule="exact"/>
        <w:jc w:val="center"/>
        <w:rPr>
          <w:rFonts w:hint="eastAsia" w:ascii="黑体" w:hAnsi="黑体" w:eastAsia="黑体"/>
          <w:b/>
          <w:sz w:val="24"/>
          <w:szCs w:val="24"/>
        </w:rPr>
      </w:pPr>
    </w:p>
    <w:p w14:paraId="311CB491">
      <w:pPr>
        <w:spacing w:line="440" w:lineRule="exact"/>
        <w:jc w:val="center"/>
        <w:rPr>
          <w:rFonts w:hint="eastAsia" w:ascii="黑体" w:hAnsi="黑体" w:eastAsia="黑体"/>
          <w:b/>
          <w:sz w:val="24"/>
          <w:szCs w:val="24"/>
        </w:rPr>
      </w:pPr>
    </w:p>
    <w:p w14:paraId="6B5DD0DD">
      <w:pPr>
        <w:spacing w:line="440" w:lineRule="exact"/>
        <w:jc w:val="center"/>
        <w:rPr>
          <w:rFonts w:hint="eastAsia" w:ascii="黑体" w:hAnsi="黑体" w:eastAsia="黑体"/>
          <w:b/>
          <w:sz w:val="24"/>
          <w:szCs w:val="24"/>
        </w:rPr>
      </w:pPr>
    </w:p>
    <w:p w14:paraId="7D8750B7">
      <w:pPr>
        <w:numPr>
          <w:ilvl w:val="0"/>
          <w:numId w:val="0"/>
        </w:numPr>
        <w:spacing w:line="440" w:lineRule="exact"/>
        <w:ind w:left="440" w:leftChars="0" w:hanging="40" w:firstLineChars="0"/>
        <w:jc w:val="center"/>
        <w:rPr>
          <w:rFonts w:hint="eastAsia" w:ascii="黑体" w:hAnsi="黑体" w:eastAsia="黑体"/>
          <w:b/>
          <w:sz w:val="32"/>
          <w:szCs w:val="32"/>
        </w:rPr>
      </w:pPr>
      <w:r>
        <w:rPr>
          <w:rFonts w:hint="eastAsia" w:ascii="黑体" w:hAnsi="黑体" w:eastAsia="黑体"/>
          <w:b/>
          <w:sz w:val="24"/>
          <w:szCs w:val="24"/>
        </w:rPr>
        <w:br w:type="page"/>
      </w:r>
      <w:r>
        <w:rPr>
          <w:rFonts w:hint="eastAsia" w:ascii="黑体" w:hAnsi="黑体" w:eastAsia="黑体"/>
          <w:b/>
          <w:sz w:val="32"/>
          <w:szCs w:val="32"/>
          <w:lang w:val="en-US" w:eastAsia="zh-CN"/>
        </w:rPr>
        <w:t>十五、</w:t>
      </w:r>
      <w:r>
        <w:rPr>
          <w:rFonts w:hint="eastAsia" w:ascii="黑体" w:hAnsi="黑体" w:eastAsia="黑体"/>
          <w:b/>
          <w:sz w:val="32"/>
          <w:szCs w:val="32"/>
        </w:rPr>
        <w:t>资格承诺函</w:t>
      </w:r>
    </w:p>
    <w:p w14:paraId="682D45A5">
      <w:pPr>
        <w:spacing w:line="440" w:lineRule="exact"/>
        <w:ind w:left="560"/>
        <w:rPr>
          <w:rFonts w:ascii="黑体" w:hAnsi="黑体" w:eastAsia="黑体"/>
          <w:b/>
          <w:sz w:val="32"/>
          <w:szCs w:val="32"/>
        </w:rPr>
      </w:pPr>
    </w:p>
    <w:p w14:paraId="60AFBCF9">
      <w:pPr>
        <w:spacing w:line="440" w:lineRule="exact"/>
        <w:ind w:left="560" w:hanging="560"/>
        <w:jc w:val="left"/>
        <w:outlineLvl w:val="2"/>
        <w:rPr>
          <w:rFonts w:hint="eastAsia" w:ascii="宋体" w:hAnsi="宋体"/>
          <w:color w:val="000000"/>
          <w:sz w:val="24"/>
          <w:szCs w:val="24"/>
          <w:highlight w:val="none"/>
          <w:u w:val="single"/>
          <w:lang w:eastAsia="zh-CN"/>
        </w:rPr>
      </w:pPr>
      <w:r>
        <w:rPr>
          <w:rFonts w:ascii="宋体" w:hAnsi="宋体"/>
          <w:sz w:val="24"/>
          <w:szCs w:val="24"/>
        </w:rPr>
        <w:t>致：</w:t>
      </w:r>
      <w:r>
        <w:rPr>
          <w:rFonts w:hint="eastAsia" w:ascii="宋体" w:hAnsi="宋体"/>
          <w:color w:val="000000"/>
          <w:sz w:val="24"/>
          <w:szCs w:val="24"/>
          <w:highlight w:val="none"/>
          <w:u w:val="single"/>
          <w:lang w:eastAsia="zh-CN"/>
        </w:rPr>
        <w:t>扬中市西来桥镇人民政府、</w:t>
      </w:r>
      <w:r>
        <w:rPr>
          <w:rFonts w:hint="eastAsia" w:ascii="宋体" w:hAnsi="宋体"/>
          <w:color w:val="000000"/>
          <w:sz w:val="24"/>
          <w:szCs w:val="24"/>
          <w:highlight w:val="none"/>
          <w:u w:val="single"/>
          <w:lang w:val="en-US" w:eastAsia="zh-CN"/>
        </w:rPr>
        <w:t>镇江晟科工程管理咨询有限公司</w:t>
      </w:r>
      <w:r>
        <w:rPr>
          <w:rFonts w:hint="eastAsia" w:ascii="宋体" w:hAnsi="宋体"/>
          <w:color w:val="000000"/>
          <w:sz w:val="24"/>
          <w:szCs w:val="24"/>
          <w:highlight w:val="none"/>
          <w:u w:val="single"/>
          <w:lang w:eastAsia="zh-CN"/>
        </w:rPr>
        <w:t xml:space="preserve">  </w:t>
      </w:r>
    </w:p>
    <w:p w14:paraId="24910AFE">
      <w:pPr>
        <w:keepNext w:val="0"/>
        <w:keepLines w:val="0"/>
        <w:pageBreakBefore w:val="0"/>
        <w:widowControl/>
        <w:kinsoku/>
        <w:wordWrap/>
        <w:overflowPunct/>
        <w:topLinePunct w:val="0"/>
        <w:autoSpaceDE/>
        <w:autoSpaceDN/>
        <w:bidi w:val="0"/>
        <w:adjustRightInd w:val="0"/>
        <w:snapToGrid/>
        <w:spacing w:line="440" w:lineRule="exact"/>
        <w:ind w:left="0" w:leftChars="0" w:firstLine="480" w:firstLineChars="200"/>
        <w:jc w:val="left"/>
        <w:textAlignment w:val="auto"/>
        <w:outlineLvl w:val="2"/>
        <w:rPr>
          <w:rFonts w:ascii="宋体" w:hAnsi="宋体"/>
          <w:sz w:val="24"/>
          <w:szCs w:val="24"/>
        </w:rPr>
      </w:pPr>
      <w:r>
        <w:rPr>
          <w:rFonts w:ascii="宋体" w:hAnsi="宋体"/>
          <w:sz w:val="24"/>
          <w:szCs w:val="24"/>
        </w:rPr>
        <w:t>我单位参与</w:t>
      </w:r>
      <w:r>
        <w:rPr>
          <w:rFonts w:ascii="宋体" w:hAnsi="宋体"/>
          <w:sz w:val="24"/>
          <w:szCs w:val="24"/>
          <w:u w:val="single"/>
        </w:rPr>
        <w:t xml:space="preserve"> </w:t>
      </w:r>
      <w:r>
        <w:rPr>
          <w:rFonts w:hint="eastAsia" w:ascii="宋体" w:hAnsi="宋体"/>
          <w:color w:val="000000"/>
          <w:sz w:val="24"/>
          <w:szCs w:val="24"/>
          <w:highlight w:val="none"/>
          <w:u w:val="single"/>
          <w:lang w:eastAsia="zh-CN"/>
        </w:rPr>
        <w:t>扬中市西来桥镇垃圾收运市场化运作项目服务项目</w:t>
      </w:r>
      <w:r>
        <w:rPr>
          <w:rFonts w:ascii="宋体" w:hAnsi="宋体"/>
          <w:sz w:val="24"/>
          <w:szCs w:val="24"/>
          <w:u w:val="single"/>
        </w:rPr>
        <w:t>（项目编号：</w:t>
      </w:r>
      <w:r>
        <w:rPr>
          <w:rFonts w:hint="eastAsia" w:ascii="宋体" w:hAnsi="宋体"/>
          <w:sz w:val="24"/>
          <w:szCs w:val="24"/>
          <w:u w:val="single"/>
          <w:lang w:eastAsia="zh-CN"/>
        </w:rPr>
        <w:t>JSZC-321182-ZJSK-</w:t>
      </w:r>
      <w:r>
        <w:rPr>
          <w:rFonts w:hint="eastAsia" w:ascii="宋体" w:hAnsi="宋体"/>
          <w:sz w:val="24"/>
          <w:szCs w:val="24"/>
          <w:u w:val="single"/>
          <w:lang w:val="en-US" w:eastAsia="zh-CN"/>
        </w:rPr>
        <w:t>C</w:t>
      </w:r>
      <w:r>
        <w:rPr>
          <w:rFonts w:hint="eastAsia" w:ascii="宋体" w:hAnsi="宋体"/>
          <w:sz w:val="24"/>
          <w:szCs w:val="24"/>
          <w:u w:val="single"/>
          <w:lang w:eastAsia="zh-CN"/>
        </w:rPr>
        <w:t>2024-0003</w:t>
      </w:r>
      <w:r>
        <w:rPr>
          <w:rFonts w:ascii="宋体" w:hAnsi="宋体"/>
          <w:sz w:val="24"/>
          <w:szCs w:val="24"/>
          <w:u w:val="single"/>
        </w:rPr>
        <w:t>） 项目</w:t>
      </w:r>
      <w:r>
        <w:rPr>
          <w:rFonts w:ascii="宋体" w:hAnsi="宋体"/>
          <w:sz w:val="24"/>
          <w:szCs w:val="24"/>
        </w:rPr>
        <w:t>的政府采购活动，现承诺如下：</w:t>
      </w:r>
    </w:p>
    <w:p w14:paraId="531BBA26">
      <w:pPr>
        <w:keepNext w:val="0"/>
        <w:keepLines w:val="0"/>
        <w:pageBreakBefore w:val="0"/>
        <w:widowControl/>
        <w:kinsoku/>
        <w:wordWrap/>
        <w:overflowPunct/>
        <w:topLinePunct w:val="0"/>
        <w:autoSpaceDE/>
        <w:autoSpaceDN/>
        <w:bidi w:val="0"/>
        <w:adjustRightInd w:val="0"/>
        <w:snapToGrid/>
        <w:spacing w:line="440" w:lineRule="exact"/>
        <w:ind w:left="0" w:firstLine="480" w:firstLineChars="200"/>
        <w:jc w:val="left"/>
        <w:textAlignment w:val="auto"/>
        <w:outlineLvl w:val="2"/>
        <w:rPr>
          <w:rFonts w:ascii="宋体" w:hAnsi="宋体"/>
          <w:sz w:val="24"/>
          <w:szCs w:val="24"/>
        </w:rPr>
      </w:pPr>
      <w:r>
        <w:rPr>
          <w:rFonts w:ascii="宋体" w:hAnsi="宋体"/>
          <w:sz w:val="24"/>
          <w:szCs w:val="24"/>
        </w:rPr>
        <w:t>1.我方具有良好的商业信誉和健全的财务会计制度。</w:t>
      </w:r>
    </w:p>
    <w:p w14:paraId="36060E7A">
      <w:pPr>
        <w:keepNext w:val="0"/>
        <w:keepLines w:val="0"/>
        <w:pageBreakBefore w:val="0"/>
        <w:widowControl/>
        <w:kinsoku/>
        <w:wordWrap/>
        <w:overflowPunct/>
        <w:topLinePunct w:val="0"/>
        <w:autoSpaceDE/>
        <w:autoSpaceDN/>
        <w:bidi w:val="0"/>
        <w:adjustRightInd w:val="0"/>
        <w:snapToGrid/>
        <w:spacing w:line="440" w:lineRule="exact"/>
        <w:ind w:left="0" w:firstLine="480" w:firstLineChars="200"/>
        <w:jc w:val="left"/>
        <w:textAlignment w:val="auto"/>
        <w:outlineLvl w:val="2"/>
        <w:rPr>
          <w:rFonts w:ascii="宋体" w:hAnsi="宋体"/>
          <w:sz w:val="24"/>
          <w:szCs w:val="24"/>
        </w:rPr>
      </w:pPr>
      <w:r>
        <w:rPr>
          <w:rFonts w:ascii="宋体" w:hAnsi="宋体"/>
          <w:sz w:val="24"/>
          <w:szCs w:val="24"/>
        </w:rPr>
        <w:t>2.我方具有履行合同所必需的设备和专业技术能力。</w:t>
      </w:r>
    </w:p>
    <w:p w14:paraId="0340B9B9">
      <w:pPr>
        <w:keepNext w:val="0"/>
        <w:keepLines w:val="0"/>
        <w:pageBreakBefore w:val="0"/>
        <w:widowControl/>
        <w:kinsoku/>
        <w:wordWrap/>
        <w:overflowPunct/>
        <w:topLinePunct w:val="0"/>
        <w:autoSpaceDE/>
        <w:autoSpaceDN/>
        <w:bidi w:val="0"/>
        <w:adjustRightInd w:val="0"/>
        <w:snapToGrid/>
        <w:spacing w:line="440" w:lineRule="exact"/>
        <w:ind w:left="0" w:firstLine="480" w:firstLineChars="200"/>
        <w:jc w:val="left"/>
        <w:textAlignment w:val="auto"/>
        <w:outlineLvl w:val="2"/>
        <w:rPr>
          <w:rFonts w:ascii="宋体" w:hAnsi="宋体"/>
          <w:sz w:val="24"/>
          <w:szCs w:val="24"/>
        </w:rPr>
      </w:pPr>
      <w:r>
        <w:rPr>
          <w:rFonts w:ascii="宋体" w:hAnsi="宋体"/>
          <w:sz w:val="24"/>
          <w:szCs w:val="24"/>
        </w:rPr>
        <w:t>3.我方具有依法缴纳税收和社会保障资金的良好记录。</w:t>
      </w:r>
    </w:p>
    <w:p w14:paraId="092E70DD">
      <w:pPr>
        <w:keepNext w:val="0"/>
        <w:keepLines w:val="0"/>
        <w:pageBreakBefore w:val="0"/>
        <w:widowControl/>
        <w:kinsoku/>
        <w:wordWrap/>
        <w:overflowPunct/>
        <w:topLinePunct w:val="0"/>
        <w:autoSpaceDE/>
        <w:autoSpaceDN/>
        <w:bidi w:val="0"/>
        <w:adjustRightInd w:val="0"/>
        <w:snapToGrid/>
        <w:spacing w:line="440" w:lineRule="exact"/>
        <w:ind w:left="0" w:firstLine="480" w:firstLineChars="200"/>
        <w:jc w:val="left"/>
        <w:textAlignment w:val="auto"/>
        <w:outlineLvl w:val="2"/>
        <w:rPr>
          <w:rFonts w:ascii="宋体" w:hAnsi="宋体"/>
          <w:sz w:val="24"/>
          <w:szCs w:val="24"/>
        </w:rPr>
      </w:pPr>
      <w:r>
        <w:rPr>
          <w:rFonts w:ascii="宋体" w:hAnsi="宋体"/>
          <w:sz w:val="24"/>
          <w:szCs w:val="24"/>
        </w:rPr>
        <w:t>4.我方参加本项目采购活动前三年内，在经营活动中没有重大违法记录。</w:t>
      </w:r>
    </w:p>
    <w:p w14:paraId="3B32B6E3">
      <w:pPr>
        <w:keepNext w:val="0"/>
        <w:keepLines w:val="0"/>
        <w:pageBreakBefore w:val="0"/>
        <w:widowControl/>
        <w:kinsoku/>
        <w:wordWrap/>
        <w:overflowPunct/>
        <w:topLinePunct w:val="0"/>
        <w:autoSpaceDE/>
        <w:autoSpaceDN/>
        <w:bidi w:val="0"/>
        <w:adjustRightInd w:val="0"/>
        <w:snapToGrid/>
        <w:spacing w:line="440" w:lineRule="exact"/>
        <w:ind w:left="0" w:firstLine="480" w:firstLineChars="200"/>
        <w:jc w:val="left"/>
        <w:textAlignment w:val="auto"/>
        <w:outlineLvl w:val="2"/>
        <w:rPr>
          <w:rFonts w:ascii="宋体" w:hAnsi="宋体"/>
          <w:sz w:val="24"/>
          <w:szCs w:val="24"/>
        </w:rPr>
      </w:pPr>
      <w:r>
        <w:rPr>
          <w:rFonts w:ascii="宋体" w:hAnsi="宋体"/>
          <w:sz w:val="24"/>
          <w:szCs w:val="24"/>
        </w:rPr>
        <w:t>若我单位承诺不实，自愿承担提供虚假材料谋取中标、成交的法律责任。</w:t>
      </w:r>
    </w:p>
    <w:p w14:paraId="1FDC0625">
      <w:pPr>
        <w:spacing w:line="440" w:lineRule="exact"/>
        <w:ind w:left="560" w:hanging="560"/>
        <w:jc w:val="left"/>
        <w:outlineLvl w:val="2"/>
        <w:rPr>
          <w:rFonts w:ascii="宋体" w:hAnsi="宋体"/>
          <w:sz w:val="24"/>
          <w:szCs w:val="24"/>
        </w:rPr>
      </w:pPr>
    </w:p>
    <w:p w14:paraId="4D1F5364">
      <w:pPr>
        <w:spacing w:line="440" w:lineRule="exact"/>
        <w:ind w:left="560" w:hanging="560"/>
        <w:jc w:val="left"/>
        <w:outlineLvl w:val="2"/>
        <w:rPr>
          <w:rFonts w:ascii="宋体" w:hAnsi="宋体"/>
          <w:sz w:val="24"/>
          <w:szCs w:val="24"/>
        </w:rPr>
      </w:pPr>
      <w:r>
        <w:rPr>
          <w:rFonts w:hint="eastAsia" w:ascii="宋体" w:hAnsi="宋体"/>
          <w:sz w:val="24"/>
          <w:szCs w:val="24"/>
        </w:rPr>
        <w:t>磋商</w:t>
      </w:r>
      <w:r>
        <w:rPr>
          <w:rFonts w:ascii="宋体" w:hAnsi="宋体"/>
          <w:sz w:val="24"/>
          <w:szCs w:val="24"/>
        </w:rPr>
        <w:t>（响应）供应商（全称并盖章）：</w:t>
      </w:r>
    </w:p>
    <w:p w14:paraId="039A99FE">
      <w:pPr>
        <w:spacing w:line="440" w:lineRule="exact"/>
        <w:jc w:val="left"/>
        <w:outlineLvl w:val="2"/>
        <w:rPr>
          <w:rFonts w:ascii="宋体" w:hAnsi="宋体"/>
          <w:sz w:val="24"/>
          <w:szCs w:val="24"/>
        </w:rPr>
      </w:pPr>
      <w:r>
        <w:rPr>
          <w:rFonts w:ascii="宋体" w:hAnsi="宋体"/>
          <w:sz w:val="24"/>
          <w:szCs w:val="24"/>
        </w:rPr>
        <w:t>供应商法定代表人或授权代表（签字或签章）：</w:t>
      </w:r>
    </w:p>
    <w:p w14:paraId="525C8DCB">
      <w:pPr>
        <w:spacing w:line="440" w:lineRule="exact"/>
        <w:jc w:val="left"/>
        <w:outlineLvl w:val="2"/>
        <w:rPr>
          <w:rFonts w:ascii="宋体" w:hAnsi="宋体"/>
          <w:sz w:val="24"/>
          <w:szCs w:val="24"/>
        </w:rPr>
      </w:pPr>
      <w:r>
        <w:rPr>
          <w:rFonts w:ascii="宋体" w:hAnsi="宋体"/>
          <w:sz w:val="24"/>
          <w:szCs w:val="24"/>
        </w:rPr>
        <w:t>日期：</w:t>
      </w:r>
    </w:p>
    <w:p w14:paraId="22605150">
      <w:pPr>
        <w:spacing w:line="440" w:lineRule="exact"/>
        <w:jc w:val="left"/>
        <w:outlineLvl w:val="2"/>
        <w:rPr>
          <w:rFonts w:ascii="宋体" w:hAnsi="宋体"/>
          <w:sz w:val="24"/>
          <w:szCs w:val="24"/>
        </w:rPr>
      </w:pPr>
    </w:p>
    <w:p w14:paraId="0BF81853">
      <w:pPr>
        <w:spacing w:line="440" w:lineRule="exact"/>
        <w:ind w:firstLine="482"/>
        <w:jc w:val="left"/>
        <w:outlineLvl w:val="2"/>
        <w:rPr>
          <w:rFonts w:ascii="宋体" w:hAnsi="宋体"/>
          <w:sz w:val="24"/>
          <w:szCs w:val="24"/>
        </w:rPr>
      </w:pPr>
      <w:r>
        <w:rPr>
          <w:rFonts w:ascii="宋体" w:hAnsi="宋体"/>
          <w:sz w:val="24"/>
          <w:szCs w:val="24"/>
        </w:rPr>
        <w:t>说明：1.供应商可自行选择是否提供本承诺函，若不提供本承诺函的，应按采购文件要求提供相应的证明材料。</w:t>
      </w:r>
    </w:p>
    <w:p w14:paraId="15FDA088">
      <w:pPr>
        <w:spacing w:line="440" w:lineRule="exact"/>
        <w:ind w:firstLine="482"/>
        <w:jc w:val="left"/>
        <w:outlineLvl w:val="2"/>
        <w:rPr>
          <w:rFonts w:hint="eastAsia" w:ascii="宋体" w:hAnsi="宋体"/>
          <w:sz w:val="24"/>
          <w:szCs w:val="24"/>
        </w:rPr>
      </w:pPr>
      <w:r>
        <w:rPr>
          <w:rFonts w:ascii="宋体" w:hAnsi="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01975C8F">
      <w:pPr>
        <w:spacing w:line="440" w:lineRule="exact"/>
        <w:jc w:val="center"/>
        <w:rPr>
          <w:rFonts w:hint="eastAsia" w:ascii="黑体" w:hAnsi="黑体" w:eastAsia="黑体"/>
          <w:b/>
          <w:sz w:val="24"/>
          <w:szCs w:val="24"/>
        </w:rPr>
      </w:pPr>
    </w:p>
    <w:p w14:paraId="570B3819">
      <w:pPr>
        <w:pStyle w:val="3"/>
        <w:spacing w:line="480" w:lineRule="exact"/>
        <w:jc w:val="center"/>
        <w:rPr>
          <w:rFonts w:ascii="仿宋" w:hAnsi="仿宋" w:eastAsia="仿宋"/>
          <w:b/>
          <w:bCs/>
          <w:color w:val="auto"/>
          <w:sz w:val="28"/>
          <w:szCs w:val="28"/>
        </w:rPr>
      </w:pPr>
    </w:p>
    <w:p w14:paraId="0F40F0A7">
      <w:pPr>
        <w:pStyle w:val="3"/>
        <w:spacing w:line="480" w:lineRule="exact"/>
        <w:jc w:val="center"/>
        <w:rPr>
          <w:rFonts w:ascii="仿宋" w:hAnsi="仿宋" w:eastAsia="仿宋"/>
          <w:b/>
          <w:bCs/>
          <w:color w:val="auto"/>
          <w:sz w:val="28"/>
          <w:szCs w:val="28"/>
        </w:rPr>
      </w:pPr>
    </w:p>
    <w:p w14:paraId="6D877CA0">
      <w:pPr>
        <w:pStyle w:val="3"/>
        <w:spacing w:line="480" w:lineRule="exact"/>
        <w:jc w:val="center"/>
        <w:rPr>
          <w:rFonts w:ascii="仿宋" w:hAnsi="仿宋" w:eastAsia="仿宋"/>
          <w:b/>
          <w:bCs/>
          <w:color w:val="auto"/>
          <w:sz w:val="28"/>
          <w:szCs w:val="28"/>
        </w:rPr>
      </w:pPr>
    </w:p>
    <w:p w14:paraId="64795153">
      <w:pPr>
        <w:pStyle w:val="3"/>
        <w:spacing w:line="480" w:lineRule="exact"/>
        <w:jc w:val="center"/>
        <w:rPr>
          <w:rFonts w:ascii="仿宋" w:hAnsi="仿宋" w:eastAsia="仿宋"/>
          <w:b/>
          <w:bCs/>
          <w:color w:val="auto"/>
          <w:sz w:val="28"/>
          <w:szCs w:val="28"/>
        </w:rPr>
      </w:pPr>
    </w:p>
    <w:p w14:paraId="328500DA">
      <w:pPr>
        <w:pStyle w:val="4"/>
      </w:pPr>
    </w:p>
    <w:p w14:paraId="58111DC6">
      <w:pPr>
        <w:pStyle w:val="3"/>
        <w:spacing w:line="480" w:lineRule="exact"/>
        <w:rPr>
          <w:rFonts w:ascii="仿宋" w:hAnsi="仿宋" w:eastAsia="仿宋"/>
          <w:b/>
          <w:bCs/>
          <w:color w:val="auto"/>
          <w:sz w:val="28"/>
          <w:szCs w:val="28"/>
        </w:rPr>
      </w:pPr>
    </w:p>
    <w:p w14:paraId="592318B5">
      <w:pPr>
        <w:numPr>
          <w:ilvl w:val="0"/>
          <w:numId w:val="0"/>
        </w:numPr>
        <w:spacing w:line="440" w:lineRule="exact"/>
        <w:ind w:left="440" w:leftChars="0" w:hanging="40" w:firstLineChars="0"/>
        <w:jc w:val="center"/>
        <w:rPr>
          <w:rFonts w:hint="eastAsia" w:ascii="黑体" w:hAnsi="黑体" w:eastAsia="黑体"/>
          <w:b/>
          <w:sz w:val="32"/>
          <w:szCs w:val="32"/>
          <w:lang w:val="en-US" w:eastAsia="zh-CN"/>
        </w:rPr>
      </w:pPr>
      <w:bookmarkStart w:id="242" w:name="_Toc329"/>
      <w:bookmarkStart w:id="243" w:name="_Toc26546"/>
      <w:bookmarkStart w:id="244" w:name="_Toc30218"/>
    </w:p>
    <w:p w14:paraId="35DD9EAB">
      <w:pPr>
        <w:numPr>
          <w:ilvl w:val="0"/>
          <w:numId w:val="0"/>
        </w:numPr>
        <w:spacing w:line="440" w:lineRule="exact"/>
        <w:ind w:left="440" w:leftChars="0" w:hanging="40" w:firstLineChars="0"/>
        <w:jc w:val="center"/>
        <w:rPr>
          <w:rFonts w:hint="eastAsia" w:ascii="黑体" w:hAnsi="黑体" w:eastAsia="黑体"/>
          <w:b/>
          <w:sz w:val="32"/>
          <w:szCs w:val="32"/>
          <w:lang w:val="en-US" w:eastAsia="zh-CN"/>
        </w:rPr>
      </w:pPr>
    </w:p>
    <w:p w14:paraId="585E8771">
      <w:pPr>
        <w:numPr>
          <w:ilvl w:val="0"/>
          <w:numId w:val="0"/>
        </w:numPr>
        <w:spacing w:line="440" w:lineRule="exact"/>
        <w:ind w:left="440" w:leftChars="0" w:hanging="40" w:firstLineChars="0"/>
        <w:jc w:val="center"/>
        <w:rPr>
          <w:rFonts w:hint="eastAsia" w:ascii="黑体" w:hAnsi="黑体" w:eastAsia="黑体"/>
          <w:b/>
          <w:sz w:val="32"/>
          <w:szCs w:val="32"/>
          <w:lang w:val="en-US" w:eastAsia="zh-CN"/>
        </w:rPr>
      </w:pPr>
      <w:r>
        <w:rPr>
          <w:rFonts w:hint="eastAsia" w:ascii="黑体" w:hAnsi="黑体" w:eastAsia="黑体"/>
          <w:b/>
          <w:sz w:val="32"/>
          <w:szCs w:val="32"/>
          <w:lang w:val="en-US" w:eastAsia="zh-CN"/>
        </w:rPr>
        <w:t>十六、本项目拟投入人员配置一览表</w:t>
      </w:r>
    </w:p>
    <w:p w14:paraId="72BCE975">
      <w:pPr>
        <w:pStyle w:val="6"/>
        <w:rPr>
          <w:color w:val="auto"/>
        </w:rPr>
      </w:pPr>
    </w:p>
    <w:p w14:paraId="01F91296">
      <w:pPr>
        <w:pStyle w:val="6"/>
        <w:rPr>
          <w:color w:val="auto"/>
        </w:rPr>
      </w:pPr>
    </w:p>
    <w:tbl>
      <w:tblPr>
        <w:tblStyle w:val="43"/>
        <w:tblW w:w="80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1627"/>
        <w:gridCol w:w="1500"/>
        <w:gridCol w:w="1400"/>
        <w:gridCol w:w="2613"/>
      </w:tblGrid>
      <w:tr w14:paraId="70D99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75" w:type="dxa"/>
            <w:noWrap w:val="0"/>
            <w:vAlign w:val="center"/>
          </w:tcPr>
          <w:p w14:paraId="6BC2ADFE">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岗位</w:t>
            </w:r>
          </w:p>
        </w:tc>
        <w:tc>
          <w:tcPr>
            <w:tcW w:w="1627" w:type="dxa"/>
            <w:noWrap w:val="0"/>
            <w:vAlign w:val="center"/>
          </w:tcPr>
          <w:p w14:paraId="40636FA4">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w:t>
            </w:r>
          </w:p>
        </w:tc>
        <w:tc>
          <w:tcPr>
            <w:tcW w:w="1500" w:type="dxa"/>
            <w:noWrap w:val="0"/>
            <w:vAlign w:val="center"/>
          </w:tcPr>
          <w:p w14:paraId="7198BE1F">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人数</w:t>
            </w:r>
          </w:p>
        </w:tc>
        <w:tc>
          <w:tcPr>
            <w:tcW w:w="1400" w:type="dxa"/>
            <w:tcBorders>
              <w:right w:val="single" w:color="auto" w:sz="4" w:space="0"/>
            </w:tcBorders>
            <w:noWrap w:val="0"/>
            <w:vAlign w:val="center"/>
          </w:tcPr>
          <w:p w14:paraId="74CC4847">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年龄层</w:t>
            </w:r>
          </w:p>
        </w:tc>
        <w:tc>
          <w:tcPr>
            <w:tcW w:w="2613" w:type="dxa"/>
            <w:tcBorders>
              <w:left w:val="single" w:color="auto" w:sz="4" w:space="0"/>
            </w:tcBorders>
            <w:noWrap w:val="0"/>
            <w:vAlign w:val="center"/>
          </w:tcPr>
          <w:p w14:paraId="52524928">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职责范围简述</w:t>
            </w:r>
          </w:p>
        </w:tc>
      </w:tr>
      <w:tr w14:paraId="361E8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875" w:type="dxa"/>
            <w:vMerge w:val="restart"/>
            <w:noWrap w:val="0"/>
            <w:vAlign w:val="center"/>
          </w:tcPr>
          <w:p w14:paraId="63BB145D">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管理人员</w:t>
            </w:r>
          </w:p>
        </w:tc>
        <w:tc>
          <w:tcPr>
            <w:tcW w:w="1627" w:type="dxa"/>
            <w:noWrap w:val="0"/>
            <w:vAlign w:val="center"/>
          </w:tcPr>
          <w:p w14:paraId="414E8E54">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项目负责人</w:t>
            </w:r>
          </w:p>
        </w:tc>
        <w:tc>
          <w:tcPr>
            <w:tcW w:w="1500" w:type="dxa"/>
            <w:noWrap w:val="0"/>
            <w:vAlign w:val="center"/>
          </w:tcPr>
          <w:p w14:paraId="684E7E95">
            <w:pPr>
              <w:spacing w:line="380" w:lineRule="atLeast"/>
              <w:jc w:val="center"/>
              <w:rPr>
                <w:rFonts w:ascii="仿宋_GB2312" w:hAnsi="仿宋_GB2312" w:eastAsia="仿宋_GB2312" w:cs="仿宋_GB2312"/>
                <w:color w:val="auto"/>
                <w:sz w:val="28"/>
                <w:szCs w:val="28"/>
              </w:rPr>
            </w:pPr>
          </w:p>
        </w:tc>
        <w:tc>
          <w:tcPr>
            <w:tcW w:w="1400" w:type="dxa"/>
            <w:tcBorders>
              <w:right w:val="single" w:color="auto" w:sz="4" w:space="0"/>
            </w:tcBorders>
            <w:noWrap w:val="0"/>
            <w:vAlign w:val="center"/>
          </w:tcPr>
          <w:p w14:paraId="24D75B47">
            <w:pPr>
              <w:spacing w:line="380" w:lineRule="atLeast"/>
              <w:jc w:val="center"/>
              <w:rPr>
                <w:rFonts w:ascii="仿宋_GB2312" w:hAnsi="仿宋_GB2312" w:eastAsia="仿宋_GB2312" w:cs="仿宋_GB2312"/>
                <w:color w:val="auto"/>
                <w:sz w:val="28"/>
                <w:szCs w:val="28"/>
              </w:rPr>
            </w:pPr>
          </w:p>
        </w:tc>
        <w:tc>
          <w:tcPr>
            <w:tcW w:w="2613" w:type="dxa"/>
            <w:tcBorders>
              <w:left w:val="single" w:color="auto" w:sz="4" w:space="0"/>
            </w:tcBorders>
            <w:noWrap w:val="0"/>
            <w:vAlign w:val="center"/>
          </w:tcPr>
          <w:p w14:paraId="03F6B215">
            <w:pPr>
              <w:spacing w:line="380" w:lineRule="atLeast"/>
              <w:jc w:val="center"/>
              <w:rPr>
                <w:rFonts w:ascii="仿宋_GB2312" w:hAnsi="仿宋_GB2312" w:eastAsia="仿宋_GB2312" w:cs="仿宋_GB2312"/>
                <w:color w:val="auto"/>
                <w:sz w:val="28"/>
                <w:szCs w:val="28"/>
              </w:rPr>
            </w:pPr>
          </w:p>
        </w:tc>
      </w:tr>
      <w:tr w14:paraId="1136E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75" w:type="dxa"/>
            <w:vMerge w:val="continue"/>
            <w:noWrap w:val="0"/>
            <w:vAlign w:val="center"/>
          </w:tcPr>
          <w:p w14:paraId="2D589ABB">
            <w:pPr>
              <w:jc w:val="center"/>
              <w:rPr>
                <w:rFonts w:ascii="仿宋_GB2312" w:hAnsi="仿宋_GB2312" w:eastAsia="仿宋_GB2312" w:cs="仿宋_GB2312"/>
                <w:color w:val="auto"/>
                <w:sz w:val="28"/>
                <w:szCs w:val="28"/>
              </w:rPr>
            </w:pPr>
          </w:p>
        </w:tc>
        <w:tc>
          <w:tcPr>
            <w:tcW w:w="1627" w:type="dxa"/>
            <w:noWrap w:val="0"/>
            <w:vAlign w:val="center"/>
          </w:tcPr>
          <w:p w14:paraId="3326551A">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管理人员</w:t>
            </w:r>
          </w:p>
        </w:tc>
        <w:tc>
          <w:tcPr>
            <w:tcW w:w="1500" w:type="dxa"/>
            <w:noWrap w:val="0"/>
            <w:vAlign w:val="center"/>
          </w:tcPr>
          <w:p w14:paraId="471114FA">
            <w:pPr>
              <w:spacing w:line="380" w:lineRule="atLeast"/>
              <w:jc w:val="center"/>
              <w:rPr>
                <w:rFonts w:ascii="仿宋_GB2312" w:hAnsi="仿宋_GB2312" w:eastAsia="仿宋_GB2312" w:cs="仿宋_GB2312"/>
                <w:color w:val="auto"/>
                <w:sz w:val="28"/>
                <w:szCs w:val="28"/>
              </w:rPr>
            </w:pPr>
          </w:p>
        </w:tc>
        <w:tc>
          <w:tcPr>
            <w:tcW w:w="1400" w:type="dxa"/>
            <w:tcBorders>
              <w:right w:val="single" w:color="auto" w:sz="4" w:space="0"/>
            </w:tcBorders>
            <w:noWrap w:val="0"/>
            <w:vAlign w:val="center"/>
          </w:tcPr>
          <w:p w14:paraId="11564015">
            <w:pPr>
              <w:spacing w:line="380" w:lineRule="atLeast"/>
              <w:jc w:val="center"/>
              <w:rPr>
                <w:rFonts w:ascii="仿宋_GB2312" w:hAnsi="仿宋_GB2312" w:eastAsia="仿宋_GB2312" w:cs="仿宋_GB2312"/>
                <w:color w:val="auto"/>
                <w:sz w:val="28"/>
                <w:szCs w:val="28"/>
              </w:rPr>
            </w:pPr>
          </w:p>
        </w:tc>
        <w:tc>
          <w:tcPr>
            <w:tcW w:w="2613" w:type="dxa"/>
            <w:tcBorders>
              <w:left w:val="single" w:color="auto" w:sz="4" w:space="0"/>
            </w:tcBorders>
            <w:noWrap w:val="0"/>
            <w:vAlign w:val="center"/>
          </w:tcPr>
          <w:p w14:paraId="64C97CEF">
            <w:pPr>
              <w:spacing w:line="380" w:lineRule="atLeast"/>
              <w:jc w:val="center"/>
              <w:rPr>
                <w:rFonts w:ascii="仿宋_GB2312" w:hAnsi="仿宋_GB2312" w:eastAsia="仿宋_GB2312" w:cs="仿宋_GB2312"/>
                <w:color w:val="auto"/>
                <w:sz w:val="28"/>
                <w:szCs w:val="28"/>
              </w:rPr>
            </w:pPr>
          </w:p>
        </w:tc>
      </w:tr>
      <w:tr w14:paraId="152DF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75" w:type="dxa"/>
            <w:vMerge w:val="restart"/>
            <w:noWrap w:val="0"/>
            <w:vAlign w:val="center"/>
          </w:tcPr>
          <w:p w14:paraId="570C971E">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作业人员</w:t>
            </w:r>
          </w:p>
          <w:p w14:paraId="177EDCDD">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其它</w:t>
            </w:r>
          </w:p>
        </w:tc>
        <w:tc>
          <w:tcPr>
            <w:tcW w:w="1627" w:type="dxa"/>
            <w:noWrap w:val="0"/>
            <w:vAlign w:val="center"/>
          </w:tcPr>
          <w:p w14:paraId="1845DC88">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道路清扫保洁人员</w:t>
            </w:r>
          </w:p>
        </w:tc>
        <w:tc>
          <w:tcPr>
            <w:tcW w:w="1500" w:type="dxa"/>
            <w:noWrap w:val="0"/>
            <w:vAlign w:val="center"/>
          </w:tcPr>
          <w:p w14:paraId="7C8F1A25">
            <w:pPr>
              <w:spacing w:line="380" w:lineRule="atLeast"/>
              <w:jc w:val="center"/>
              <w:rPr>
                <w:rFonts w:ascii="仿宋_GB2312" w:hAnsi="仿宋_GB2312" w:eastAsia="仿宋_GB2312" w:cs="仿宋_GB2312"/>
                <w:color w:val="auto"/>
                <w:sz w:val="28"/>
                <w:szCs w:val="28"/>
              </w:rPr>
            </w:pPr>
          </w:p>
        </w:tc>
        <w:tc>
          <w:tcPr>
            <w:tcW w:w="1400" w:type="dxa"/>
            <w:tcBorders>
              <w:right w:val="single" w:color="auto" w:sz="4" w:space="0"/>
            </w:tcBorders>
            <w:noWrap w:val="0"/>
            <w:vAlign w:val="center"/>
          </w:tcPr>
          <w:p w14:paraId="38E39FB9">
            <w:pPr>
              <w:spacing w:line="380" w:lineRule="atLeast"/>
              <w:jc w:val="center"/>
              <w:rPr>
                <w:rFonts w:ascii="仿宋_GB2312" w:hAnsi="仿宋_GB2312" w:eastAsia="仿宋_GB2312" w:cs="仿宋_GB2312"/>
                <w:color w:val="auto"/>
                <w:sz w:val="28"/>
                <w:szCs w:val="28"/>
              </w:rPr>
            </w:pPr>
          </w:p>
        </w:tc>
        <w:tc>
          <w:tcPr>
            <w:tcW w:w="2613" w:type="dxa"/>
            <w:tcBorders>
              <w:left w:val="single" w:color="auto" w:sz="4" w:space="0"/>
            </w:tcBorders>
            <w:noWrap w:val="0"/>
            <w:vAlign w:val="center"/>
          </w:tcPr>
          <w:p w14:paraId="4FBB78C1">
            <w:pPr>
              <w:spacing w:line="380" w:lineRule="atLeast"/>
              <w:jc w:val="center"/>
              <w:rPr>
                <w:rFonts w:ascii="仿宋_GB2312" w:hAnsi="仿宋_GB2312" w:eastAsia="仿宋_GB2312" w:cs="仿宋_GB2312"/>
                <w:color w:val="auto"/>
                <w:sz w:val="28"/>
                <w:szCs w:val="28"/>
              </w:rPr>
            </w:pPr>
          </w:p>
        </w:tc>
      </w:tr>
      <w:tr w14:paraId="66F30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75" w:type="dxa"/>
            <w:vMerge w:val="continue"/>
            <w:noWrap w:val="0"/>
            <w:vAlign w:val="center"/>
          </w:tcPr>
          <w:p w14:paraId="342074C9">
            <w:pPr>
              <w:jc w:val="center"/>
              <w:rPr>
                <w:rFonts w:ascii="仿宋_GB2312" w:hAnsi="仿宋_GB2312" w:eastAsia="仿宋_GB2312" w:cs="仿宋_GB2312"/>
                <w:color w:val="auto"/>
                <w:sz w:val="28"/>
                <w:szCs w:val="28"/>
              </w:rPr>
            </w:pPr>
          </w:p>
        </w:tc>
        <w:tc>
          <w:tcPr>
            <w:tcW w:w="1627" w:type="dxa"/>
            <w:noWrap w:val="0"/>
            <w:vAlign w:val="center"/>
          </w:tcPr>
          <w:p w14:paraId="27F9EEAA">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垃圾收集清运人员</w:t>
            </w:r>
          </w:p>
        </w:tc>
        <w:tc>
          <w:tcPr>
            <w:tcW w:w="1500" w:type="dxa"/>
            <w:noWrap w:val="0"/>
            <w:vAlign w:val="center"/>
          </w:tcPr>
          <w:p w14:paraId="63764215">
            <w:pPr>
              <w:spacing w:line="380" w:lineRule="atLeast"/>
              <w:jc w:val="center"/>
              <w:rPr>
                <w:rFonts w:ascii="仿宋_GB2312" w:hAnsi="仿宋_GB2312" w:eastAsia="仿宋_GB2312" w:cs="仿宋_GB2312"/>
                <w:color w:val="auto"/>
                <w:sz w:val="28"/>
                <w:szCs w:val="28"/>
              </w:rPr>
            </w:pPr>
          </w:p>
        </w:tc>
        <w:tc>
          <w:tcPr>
            <w:tcW w:w="1400" w:type="dxa"/>
            <w:tcBorders>
              <w:right w:val="single" w:color="auto" w:sz="4" w:space="0"/>
            </w:tcBorders>
            <w:noWrap w:val="0"/>
            <w:vAlign w:val="center"/>
          </w:tcPr>
          <w:p w14:paraId="0FF2E25C">
            <w:pPr>
              <w:spacing w:line="380" w:lineRule="atLeast"/>
              <w:jc w:val="center"/>
              <w:rPr>
                <w:rFonts w:ascii="仿宋_GB2312" w:hAnsi="仿宋_GB2312" w:eastAsia="仿宋_GB2312" w:cs="仿宋_GB2312"/>
                <w:color w:val="auto"/>
                <w:sz w:val="28"/>
                <w:szCs w:val="28"/>
              </w:rPr>
            </w:pPr>
          </w:p>
        </w:tc>
        <w:tc>
          <w:tcPr>
            <w:tcW w:w="2613" w:type="dxa"/>
            <w:tcBorders>
              <w:left w:val="single" w:color="auto" w:sz="4" w:space="0"/>
            </w:tcBorders>
            <w:noWrap w:val="0"/>
            <w:vAlign w:val="center"/>
          </w:tcPr>
          <w:p w14:paraId="30881082">
            <w:pPr>
              <w:spacing w:line="380" w:lineRule="atLeast"/>
              <w:jc w:val="center"/>
              <w:rPr>
                <w:rFonts w:ascii="仿宋_GB2312" w:hAnsi="仿宋_GB2312" w:eastAsia="仿宋_GB2312" w:cs="仿宋_GB2312"/>
                <w:color w:val="auto"/>
                <w:sz w:val="28"/>
                <w:szCs w:val="28"/>
              </w:rPr>
            </w:pPr>
          </w:p>
        </w:tc>
      </w:tr>
      <w:tr w14:paraId="11DBE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75" w:type="dxa"/>
            <w:vMerge w:val="continue"/>
            <w:noWrap w:val="0"/>
            <w:vAlign w:val="center"/>
          </w:tcPr>
          <w:p w14:paraId="3A5F9ABC">
            <w:pPr>
              <w:jc w:val="center"/>
              <w:rPr>
                <w:rFonts w:ascii="仿宋_GB2312" w:hAnsi="仿宋_GB2312" w:eastAsia="仿宋_GB2312" w:cs="仿宋_GB2312"/>
                <w:color w:val="auto"/>
                <w:sz w:val="28"/>
                <w:szCs w:val="28"/>
              </w:rPr>
            </w:pPr>
          </w:p>
        </w:tc>
        <w:tc>
          <w:tcPr>
            <w:tcW w:w="1627" w:type="dxa"/>
            <w:noWrap w:val="0"/>
            <w:vAlign w:val="center"/>
          </w:tcPr>
          <w:p w14:paraId="389425CF">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道路机械化作业人员</w:t>
            </w:r>
          </w:p>
        </w:tc>
        <w:tc>
          <w:tcPr>
            <w:tcW w:w="1500" w:type="dxa"/>
            <w:noWrap w:val="0"/>
            <w:vAlign w:val="center"/>
          </w:tcPr>
          <w:p w14:paraId="17A52715">
            <w:pPr>
              <w:spacing w:line="380" w:lineRule="atLeast"/>
              <w:jc w:val="center"/>
              <w:rPr>
                <w:rFonts w:ascii="仿宋_GB2312" w:hAnsi="仿宋_GB2312" w:eastAsia="仿宋_GB2312" w:cs="仿宋_GB2312"/>
                <w:color w:val="auto"/>
                <w:sz w:val="28"/>
                <w:szCs w:val="28"/>
              </w:rPr>
            </w:pPr>
          </w:p>
        </w:tc>
        <w:tc>
          <w:tcPr>
            <w:tcW w:w="1400" w:type="dxa"/>
            <w:tcBorders>
              <w:right w:val="single" w:color="auto" w:sz="4" w:space="0"/>
            </w:tcBorders>
            <w:noWrap w:val="0"/>
            <w:vAlign w:val="center"/>
          </w:tcPr>
          <w:p w14:paraId="4A38AD95">
            <w:pPr>
              <w:spacing w:line="380" w:lineRule="atLeast"/>
              <w:jc w:val="center"/>
              <w:rPr>
                <w:rFonts w:ascii="仿宋_GB2312" w:hAnsi="仿宋_GB2312" w:eastAsia="仿宋_GB2312" w:cs="仿宋_GB2312"/>
                <w:color w:val="auto"/>
                <w:sz w:val="28"/>
                <w:szCs w:val="28"/>
              </w:rPr>
            </w:pPr>
          </w:p>
        </w:tc>
        <w:tc>
          <w:tcPr>
            <w:tcW w:w="2613" w:type="dxa"/>
            <w:tcBorders>
              <w:left w:val="single" w:color="auto" w:sz="4" w:space="0"/>
            </w:tcBorders>
            <w:noWrap w:val="0"/>
            <w:vAlign w:val="center"/>
          </w:tcPr>
          <w:p w14:paraId="04D48E2B">
            <w:pPr>
              <w:spacing w:line="380" w:lineRule="atLeast"/>
              <w:jc w:val="center"/>
              <w:rPr>
                <w:rFonts w:ascii="仿宋_GB2312" w:hAnsi="仿宋_GB2312" w:eastAsia="仿宋_GB2312" w:cs="仿宋_GB2312"/>
                <w:color w:val="auto"/>
                <w:sz w:val="28"/>
                <w:szCs w:val="28"/>
              </w:rPr>
            </w:pPr>
          </w:p>
        </w:tc>
      </w:tr>
      <w:tr w14:paraId="3C771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75" w:type="dxa"/>
            <w:vMerge w:val="continue"/>
            <w:noWrap w:val="0"/>
            <w:vAlign w:val="center"/>
          </w:tcPr>
          <w:p w14:paraId="5BE94A58">
            <w:pPr>
              <w:jc w:val="center"/>
              <w:rPr>
                <w:rFonts w:ascii="仿宋_GB2312" w:hAnsi="仿宋_GB2312" w:eastAsia="仿宋_GB2312" w:cs="仿宋_GB2312"/>
                <w:color w:val="auto"/>
                <w:sz w:val="28"/>
                <w:szCs w:val="28"/>
              </w:rPr>
            </w:pPr>
          </w:p>
        </w:tc>
        <w:tc>
          <w:tcPr>
            <w:tcW w:w="1627" w:type="dxa"/>
            <w:noWrap w:val="0"/>
            <w:vAlign w:val="center"/>
          </w:tcPr>
          <w:p w14:paraId="60D302BD">
            <w:pPr>
              <w:spacing w:line="380" w:lineRule="atLeast"/>
              <w:jc w:val="center"/>
              <w:rPr>
                <w:rFonts w:ascii="仿宋_GB2312" w:hAnsi="仿宋_GB2312" w:eastAsia="仿宋_GB2312" w:cs="仿宋_GB2312"/>
                <w:color w:val="auto"/>
                <w:sz w:val="28"/>
                <w:szCs w:val="28"/>
              </w:rPr>
            </w:pPr>
          </w:p>
        </w:tc>
        <w:tc>
          <w:tcPr>
            <w:tcW w:w="1500" w:type="dxa"/>
            <w:noWrap w:val="0"/>
            <w:vAlign w:val="center"/>
          </w:tcPr>
          <w:p w14:paraId="125BCFBA">
            <w:pPr>
              <w:spacing w:line="380" w:lineRule="atLeast"/>
              <w:jc w:val="center"/>
              <w:rPr>
                <w:rFonts w:ascii="仿宋_GB2312" w:hAnsi="仿宋_GB2312" w:eastAsia="仿宋_GB2312" w:cs="仿宋_GB2312"/>
                <w:color w:val="auto"/>
                <w:sz w:val="28"/>
                <w:szCs w:val="28"/>
              </w:rPr>
            </w:pPr>
          </w:p>
        </w:tc>
        <w:tc>
          <w:tcPr>
            <w:tcW w:w="1400" w:type="dxa"/>
            <w:tcBorders>
              <w:right w:val="single" w:color="auto" w:sz="4" w:space="0"/>
            </w:tcBorders>
            <w:noWrap w:val="0"/>
            <w:vAlign w:val="center"/>
          </w:tcPr>
          <w:p w14:paraId="17736F91">
            <w:pPr>
              <w:spacing w:line="380" w:lineRule="atLeast"/>
              <w:jc w:val="center"/>
              <w:rPr>
                <w:rFonts w:ascii="仿宋_GB2312" w:hAnsi="仿宋_GB2312" w:eastAsia="仿宋_GB2312" w:cs="仿宋_GB2312"/>
                <w:color w:val="auto"/>
                <w:sz w:val="28"/>
                <w:szCs w:val="28"/>
              </w:rPr>
            </w:pPr>
          </w:p>
        </w:tc>
        <w:tc>
          <w:tcPr>
            <w:tcW w:w="2613" w:type="dxa"/>
            <w:tcBorders>
              <w:left w:val="single" w:color="auto" w:sz="4" w:space="0"/>
            </w:tcBorders>
            <w:noWrap w:val="0"/>
            <w:vAlign w:val="center"/>
          </w:tcPr>
          <w:p w14:paraId="71469B05">
            <w:pPr>
              <w:spacing w:line="380" w:lineRule="atLeast"/>
              <w:jc w:val="center"/>
              <w:rPr>
                <w:rFonts w:ascii="仿宋_GB2312" w:hAnsi="仿宋_GB2312" w:eastAsia="仿宋_GB2312" w:cs="仿宋_GB2312"/>
                <w:color w:val="auto"/>
                <w:sz w:val="28"/>
                <w:szCs w:val="28"/>
              </w:rPr>
            </w:pPr>
          </w:p>
        </w:tc>
      </w:tr>
      <w:tr w14:paraId="54AB3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75" w:type="dxa"/>
            <w:vMerge w:val="continue"/>
            <w:noWrap w:val="0"/>
            <w:vAlign w:val="center"/>
          </w:tcPr>
          <w:p w14:paraId="1D0DDA60">
            <w:pPr>
              <w:jc w:val="center"/>
              <w:rPr>
                <w:rFonts w:ascii="仿宋_GB2312" w:hAnsi="仿宋_GB2312" w:eastAsia="仿宋_GB2312" w:cs="仿宋_GB2312"/>
                <w:color w:val="auto"/>
                <w:sz w:val="28"/>
                <w:szCs w:val="28"/>
              </w:rPr>
            </w:pPr>
          </w:p>
        </w:tc>
        <w:tc>
          <w:tcPr>
            <w:tcW w:w="1627" w:type="dxa"/>
            <w:noWrap w:val="0"/>
            <w:vAlign w:val="center"/>
          </w:tcPr>
          <w:p w14:paraId="051F0D43">
            <w:pPr>
              <w:spacing w:line="380" w:lineRule="atLeast"/>
              <w:jc w:val="center"/>
              <w:rPr>
                <w:rFonts w:ascii="仿宋_GB2312" w:hAnsi="仿宋_GB2312" w:eastAsia="仿宋_GB2312" w:cs="仿宋_GB2312"/>
                <w:color w:val="auto"/>
                <w:sz w:val="28"/>
                <w:szCs w:val="28"/>
              </w:rPr>
            </w:pPr>
          </w:p>
        </w:tc>
        <w:tc>
          <w:tcPr>
            <w:tcW w:w="1500" w:type="dxa"/>
            <w:noWrap w:val="0"/>
            <w:vAlign w:val="center"/>
          </w:tcPr>
          <w:p w14:paraId="66CF9846">
            <w:pPr>
              <w:spacing w:line="380" w:lineRule="atLeast"/>
              <w:jc w:val="center"/>
              <w:rPr>
                <w:rFonts w:ascii="仿宋_GB2312" w:hAnsi="仿宋_GB2312" w:eastAsia="仿宋_GB2312" w:cs="仿宋_GB2312"/>
                <w:color w:val="auto"/>
                <w:sz w:val="28"/>
                <w:szCs w:val="28"/>
              </w:rPr>
            </w:pPr>
          </w:p>
        </w:tc>
        <w:tc>
          <w:tcPr>
            <w:tcW w:w="1400" w:type="dxa"/>
            <w:tcBorders>
              <w:right w:val="single" w:color="auto" w:sz="4" w:space="0"/>
            </w:tcBorders>
            <w:noWrap w:val="0"/>
            <w:vAlign w:val="center"/>
          </w:tcPr>
          <w:p w14:paraId="22F545D6">
            <w:pPr>
              <w:spacing w:line="380" w:lineRule="atLeast"/>
              <w:jc w:val="center"/>
              <w:rPr>
                <w:rFonts w:ascii="仿宋_GB2312" w:hAnsi="仿宋_GB2312" w:eastAsia="仿宋_GB2312" w:cs="仿宋_GB2312"/>
                <w:color w:val="auto"/>
                <w:sz w:val="28"/>
                <w:szCs w:val="28"/>
              </w:rPr>
            </w:pPr>
          </w:p>
        </w:tc>
        <w:tc>
          <w:tcPr>
            <w:tcW w:w="2613" w:type="dxa"/>
            <w:tcBorders>
              <w:left w:val="single" w:color="auto" w:sz="4" w:space="0"/>
            </w:tcBorders>
            <w:noWrap w:val="0"/>
            <w:vAlign w:val="center"/>
          </w:tcPr>
          <w:p w14:paraId="2E6C0AE9">
            <w:pPr>
              <w:spacing w:line="380" w:lineRule="atLeast"/>
              <w:jc w:val="center"/>
              <w:rPr>
                <w:rFonts w:ascii="仿宋_GB2312" w:hAnsi="仿宋_GB2312" w:eastAsia="仿宋_GB2312" w:cs="仿宋_GB2312"/>
                <w:color w:val="auto"/>
                <w:sz w:val="28"/>
                <w:szCs w:val="28"/>
              </w:rPr>
            </w:pPr>
          </w:p>
        </w:tc>
      </w:tr>
      <w:tr w14:paraId="3DB4E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75" w:type="dxa"/>
            <w:vMerge w:val="continue"/>
            <w:noWrap w:val="0"/>
            <w:vAlign w:val="center"/>
          </w:tcPr>
          <w:p w14:paraId="57E8C38B">
            <w:pPr>
              <w:jc w:val="center"/>
              <w:rPr>
                <w:rFonts w:ascii="仿宋_GB2312" w:hAnsi="仿宋_GB2312" w:eastAsia="仿宋_GB2312" w:cs="仿宋_GB2312"/>
                <w:color w:val="auto"/>
                <w:sz w:val="28"/>
                <w:szCs w:val="28"/>
              </w:rPr>
            </w:pPr>
          </w:p>
        </w:tc>
        <w:tc>
          <w:tcPr>
            <w:tcW w:w="1627" w:type="dxa"/>
            <w:noWrap w:val="0"/>
            <w:vAlign w:val="center"/>
          </w:tcPr>
          <w:p w14:paraId="3C906D2D">
            <w:pPr>
              <w:spacing w:line="380"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500" w:type="dxa"/>
            <w:noWrap w:val="0"/>
            <w:vAlign w:val="center"/>
          </w:tcPr>
          <w:p w14:paraId="2E6CEA8D">
            <w:pPr>
              <w:spacing w:line="380" w:lineRule="atLeast"/>
              <w:jc w:val="center"/>
              <w:rPr>
                <w:rFonts w:ascii="仿宋_GB2312" w:hAnsi="仿宋_GB2312" w:eastAsia="仿宋_GB2312" w:cs="仿宋_GB2312"/>
                <w:color w:val="auto"/>
                <w:sz w:val="28"/>
                <w:szCs w:val="28"/>
              </w:rPr>
            </w:pPr>
          </w:p>
        </w:tc>
        <w:tc>
          <w:tcPr>
            <w:tcW w:w="1400" w:type="dxa"/>
            <w:tcBorders>
              <w:right w:val="single" w:color="auto" w:sz="4" w:space="0"/>
            </w:tcBorders>
            <w:noWrap w:val="0"/>
            <w:vAlign w:val="center"/>
          </w:tcPr>
          <w:p w14:paraId="1D2EE8BF">
            <w:pPr>
              <w:spacing w:line="380" w:lineRule="atLeast"/>
              <w:jc w:val="center"/>
              <w:rPr>
                <w:rFonts w:ascii="仿宋_GB2312" w:hAnsi="仿宋_GB2312" w:eastAsia="仿宋_GB2312" w:cs="仿宋_GB2312"/>
                <w:color w:val="auto"/>
                <w:sz w:val="28"/>
                <w:szCs w:val="28"/>
              </w:rPr>
            </w:pPr>
          </w:p>
        </w:tc>
        <w:tc>
          <w:tcPr>
            <w:tcW w:w="2613" w:type="dxa"/>
            <w:tcBorders>
              <w:left w:val="single" w:color="auto" w:sz="4" w:space="0"/>
            </w:tcBorders>
            <w:noWrap w:val="0"/>
            <w:vAlign w:val="center"/>
          </w:tcPr>
          <w:p w14:paraId="591245F3">
            <w:pPr>
              <w:spacing w:line="380" w:lineRule="atLeast"/>
              <w:jc w:val="center"/>
              <w:rPr>
                <w:rFonts w:ascii="仿宋_GB2312" w:hAnsi="仿宋_GB2312" w:eastAsia="仿宋_GB2312" w:cs="仿宋_GB2312"/>
                <w:color w:val="auto"/>
                <w:sz w:val="28"/>
                <w:szCs w:val="28"/>
              </w:rPr>
            </w:pPr>
          </w:p>
        </w:tc>
      </w:tr>
      <w:tr w14:paraId="5CCBD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2" w:type="dxa"/>
            <w:gridSpan w:val="2"/>
            <w:noWrap w:val="0"/>
            <w:vAlign w:val="center"/>
          </w:tcPr>
          <w:p w14:paraId="1254180E">
            <w:pPr>
              <w:spacing w:line="380" w:lineRule="atLeas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合计人数</w:t>
            </w:r>
          </w:p>
        </w:tc>
        <w:tc>
          <w:tcPr>
            <w:tcW w:w="5513" w:type="dxa"/>
            <w:gridSpan w:val="3"/>
            <w:noWrap w:val="0"/>
            <w:vAlign w:val="center"/>
          </w:tcPr>
          <w:p w14:paraId="01C0F399">
            <w:pPr>
              <w:spacing w:line="380" w:lineRule="atLeast"/>
              <w:jc w:val="center"/>
              <w:rPr>
                <w:rFonts w:ascii="仿宋_GB2312" w:hAnsi="仿宋_GB2312" w:eastAsia="仿宋_GB2312" w:cs="仿宋_GB2312"/>
                <w:b/>
                <w:color w:val="auto"/>
                <w:sz w:val="28"/>
                <w:szCs w:val="28"/>
              </w:rPr>
            </w:pPr>
          </w:p>
        </w:tc>
      </w:tr>
    </w:tbl>
    <w:p w14:paraId="5514908B">
      <w:pPr>
        <w:rPr>
          <w:rFonts w:ascii="仿宋_GB2312" w:hAnsi="仿宋_GB2312" w:eastAsia="仿宋_GB2312" w:cs="仿宋_GB2312"/>
          <w:b/>
          <w:color w:val="auto"/>
          <w:sz w:val="28"/>
          <w:szCs w:val="28"/>
        </w:rPr>
      </w:pPr>
    </w:p>
    <w:p w14:paraId="45E7422F">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w:t>
      </w:r>
      <w:r>
        <w:rPr>
          <w:rFonts w:hint="eastAsia" w:ascii="仿宋_GB2312" w:hAnsi="仿宋_GB2312" w:eastAsia="仿宋_GB2312" w:cs="仿宋_GB2312"/>
          <w:b/>
          <w:color w:val="auto"/>
          <w:sz w:val="28"/>
          <w:szCs w:val="28"/>
          <w:highlight w:val="none"/>
          <w:lang w:eastAsia="zh-CN"/>
        </w:rPr>
        <w:t>供应商</w:t>
      </w:r>
      <w:r>
        <w:rPr>
          <w:rFonts w:hint="eastAsia" w:ascii="仿宋_GB2312" w:hAnsi="仿宋_GB2312" w:eastAsia="仿宋_GB2312" w:cs="仿宋_GB2312"/>
          <w:b/>
          <w:color w:val="auto"/>
          <w:sz w:val="28"/>
          <w:szCs w:val="28"/>
          <w:highlight w:val="none"/>
        </w:rPr>
        <w:t>可根据需要和可能的原则编制本项目配备人员，岗位名称可自行拟定，行数不够请自行添加。作业人数低于人员配备最低要求的将被定义为未实质性响应</w:t>
      </w:r>
      <w:r>
        <w:rPr>
          <w:rFonts w:hint="eastAsia" w:ascii="仿宋_GB2312" w:hAnsi="仿宋_GB2312" w:eastAsia="仿宋_GB2312" w:cs="仿宋_GB2312"/>
          <w:b/>
          <w:color w:val="auto"/>
          <w:sz w:val="28"/>
          <w:szCs w:val="28"/>
          <w:highlight w:val="none"/>
          <w:lang w:eastAsia="zh-CN"/>
        </w:rPr>
        <w:t>采购文件</w:t>
      </w:r>
      <w:r>
        <w:rPr>
          <w:rFonts w:hint="eastAsia" w:ascii="仿宋_GB2312" w:hAnsi="仿宋_GB2312" w:eastAsia="仿宋_GB2312" w:cs="仿宋_GB2312"/>
          <w:b/>
          <w:color w:val="auto"/>
          <w:sz w:val="28"/>
          <w:szCs w:val="28"/>
          <w:highlight w:val="none"/>
        </w:rPr>
        <w:t>要求。道路机械化作业人员除填写上表外，还须提供驾驶证复印件。</w:t>
      </w:r>
    </w:p>
    <w:p w14:paraId="0758CC43">
      <w:pPr>
        <w:pStyle w:val="10"/>
        <w:jc w:val="center"/>
        <w:rPr>
          <w:rFonts w:ascii="仿宋_GB2312" w:hAnsi="仿宋_GB2312" w:eastAsia="仿宋_GB2312" w:cs="仿宋_GB2312"/>
          <w:color w:val="auto"/>
          <w:sz w:val="36"/>
          <w:szCs w:val="36"/>
        </w:rPr>
      </w:pPr>
    </w:p>
    <w:p w14:paraId="0879DF74">
      <w:pPr>
        <w:pStyle w:val="52"/>
        <w:rPr>
          <w:rFonts w:ascii="仿宋_GB2312" w:hAnsi="仿宋_GB2312" w:eastAsia="仿宋_GB2312" w:cs="仿宋_GB2312"/>
          <w:color w:val="auto"/>
          <w:sz w:val="36"/>
          <w:szCs w:val="36"/>
        </w:rPr>
      </w:pPr>
    </w:p>
    <w:p w14:paraId="20648D56">
      <w:pPr>
        <w:pStyle w:val="10"/>
        <w:keepNext/>
        <w:keepLines/>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color w:val="auto"/>
          <w:sz w:val="36"/>
          <w:szCs w:val="36"/>
        </w:rPr>
      </w:pPr>
      <w:bookmarkStart w:id="245" w:name="_Toc23546"/>
      <w:bookmarkStart w:id="246" w:name="_Toc2430"/>
    </w:p>
    <w:p w14:paraId="7572F4A2">
      <w:pPr>
        <w:rPr>
          <w:rFonts w:hint="eastAsia" w:ascii="仿宋_GB2312" w:hAnsi="仿宋_GB2312" w:eastAsia="仿宋_GB2312" w:cs="仿宋_GB2312"/>
          <w:color w:val="auto"/>
          <w:sz w:val="36"/>
          <w:szCs w:val="36"/>
        </w:rPr>
      </w:pPr>
    </w:p>
    <w:p w14:paraId="2D24EA56">
      <w:pPr>
        <w:pStyle w:val="7"/>
        <w:rPr>
          <w:rFonts w:hint="eastAsia"/>
        </w:rPr>
      </w:pPr>
    </w:p>
    <w:p w14:paraId="144B2638">
      <w:pPr>
        <w:pStyle w:val="8"/>
        <w:rPr>
          <w:rFonts w:hint="eastAsia"/>
        </w:rPr>
      </w:pPr>
    </w:p>
    <w:p w14:paraId="1381E75C">
      <w:pPr>
        <w:numPr>
          <w:ilvl w:val="0"/>
          <w:numId w:val="0"/>
        </w:numPr>
        <w:spacing w:line="440" w:lineRule="exact"/>
        <w:ind w:left="440" w:leftChars="0" w:hanging="40" w:firstLineChars="0"/>
        <w:jc w:val="center"/>
        <w:rPr>
          <w:rFonts w:hint="eastAsia" w:ascii="黑体" w:hAnsi="黑体" w:eastAsia="黑体"/>
          <w:b/>
          <w:sz w:val="32"/>
          <w:szCs w:val="32"/>
          <w:lang w:val="en-US" w:eastAsia="zh-CN"/>
        </w:rPr>
      </w:pPr>
    </w:p>
    <w:p w14:paraId="5586B2E0">
      <w:pPr>
        <w:numPr>
          <w:ilvl w:val="0"/>
          <w:numId w:val="0"/>
        </w:numPr>
        <w:spacing w:line="440" w:lineRule="exact"/>
        <w:ind w:left="440" w:leftChars="0" w:hanging="40" w:firstLineChars="0"/>
        <w:jc w:val="center"/>
        <w:rPr>
          <w:rFonts w:hint="eastAsia" w:ascii="黑体" w:hAnsi="黑体" w:eastAsia="黑体"/>
          <w:b/>
          <w:sz w:val="32"/>
          <w:szCs w:val="32"/>
          <w:lang w:val="en-US" w:eastAsia="zh-CN"/>
        </w:rPr>
      </w:pPr>
    </w:p>
    <w:p w14:paraId="3E058D6E">
      <w:pPr>
        <w:numPr>
          <w:ilvl w:val="0"/>
          <w:numId w:val="0"/>
        </w:numPr>
        <w:spacing w:line="440" w:lineRule="exact"/>
        <w:ind w:left="440" w:leftChars="0" w:hanging="40" w:firstLineChars="0"/>
        <w:jc w:val="center"/>
        <w:rPr>
          <w:rFonts w:hint="eastAsia" w:ascii="黑体" w:hAnsi="黑体" w:eastAsia="黑体"/>
          <w:b/>
          <w:sz w:val="32"/>
          <w:szCs w:val="32"/>
          <w:lang w:val="en-US" w:eastAsia="zh-CN"/>
        </w:rPr>
      </w:pPr>
    </w:p>
    <w:p w14:paraId="0A606843">
      <w:pPr>
        <w:numPr>
          <w:ilvl w:val="0"/>
          <w:numId w:val="0"/>
        </w:numPr>
        <w:spacing w:line="440" w:lineRule="exact"/>
        <w:ind w:left="440" w:leftChars="0" w:hanging="40" w:firstLineChars="0"/>
        <w:jc w:val="center"/>
        <w:rPr>
          <w:rFonts w:hint="eastAsia" w:ascii="黑体" w:hAnsi="黑体" w:eastAsia="黑体"/>
          <w:b/>
          <w:sz w:val="32"/>
          <w:szCs w:val="32"/>
          <w:lang w:val="en-US" w:eastAsia="zh-CN"/>
        </w:rPr>
      </w:pPr>
      <w:r>
        <w:rPr>
          <w:rFonts w:hint="eastAsia" w:ascii="黑体" w:hAnsi="黑体" w:eastAsia="黑体"/>
          <w:b/>
          <w:sz w:val="32"/>
          <w:szCs w:val="32"/>
          <w:lang w:val="en-US" w:eastAsia="zh-CN"/>
        </w:rPr>
        <w:t>十七、项目负责人履历表</w:t>
      </w:r>
      <w:bookmarkEnd w:id="245"/>
      <w:bookmarkEnd w:id="246"/>
    </w:p>
    <w:tbl>
      <w:tblPr>
        <w:tblStyle w:val="43"/>
        <w:tblW w:w="8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7"/>
        <w:gridCol w:w="161"/>
        <w:gridCol w:w="860"/>
        <w:gridCol w:w="970"/>
        <w:gridCol w:w="1310"/>
        <w:gridCol w:w="1140"/>
        <w:gridCol w:w="1139"/>
        <w:gridCol w:w="759"/>
        <w:gridCol w:w="1042"/>
      </w:tblGrid>
      <w:tr w14:paraId="199F1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1418" w:type="dxa"/>
            <w:gridSpan w:val="2"/>
            <w:noWrap w:val="0"/>
            <w:vAlign w:val="center"/>
          </w:tcPr>
          <w:p w14:paraId="69D7A77F">
            <w:pPr>
              <w:pStyle w:val="19"/>
              <w:spacing w:line="240" w:lineRule="auto"/>
              <w:ind w:firstLine="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姓 名</w:t>
            </w:r>
          </w:p>
        </w:tc>
        <w:tc>
          <w:tcPr>
            <w:tcW w:w="860" w:type="dxa"/>
            <w:noWrap w:val="0"/>
            <w:vAlign w:val="center"/>
          </w:tcPr>
          <w:p w14:paraId="19A5C913">
            <w:pPr>
              <w:pStyle w:val="19"/>
              <w:spacing w:line="240" w:lineRule="auto"/>
              <w:ind w:firstLine="480"/>
              <w:jc w:val="center"/>
              <w:rPr>
                <w:rFonts w:ascii="仿宋_GB2312" w:hAnsi="仿宋_GB2312" w:eastAsia="仿宋_GB2312" w:cs="仿宋_GB2312"/>
                <w:bCs/>
                <w:color w:val="auto"/>
                <w:sz w:val="24"/>
              </w:rPr>
            </w:pPr>
          </w:p>
        </w:tc>
        <w:tc>
          <w:tcPr>
            <w:tcW w:w="970" w:type="dxa"/>
            <w:noWrap w:val="0"/>
            <w:vAlign w:val="center"/>
          </w:tcPr>
          <w:p w14:paraId="77B000A5">
            <w:pPr>
              <w:pStyle w:val="19"/>
              <w:spacing w:line="240" w:lineRule="auto"/>
              <w:ind w:firstLine="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出生 年月</w:t>
            </w:r>
          </w:p>
        </w:tc>
        <w:tc>
          <w:tcPr>
            <w:tcW w:w="1310" w:type="dxa"/>
            <w:noWrap w:val="0"/>
            <w:vAlign w:val="center"/>
          </w:tcPr>
          <w:p w14:paraId="48A11A9B">
            <w:pPr>
              <w:pStyle w:val="19"/>
              <w:spacing w:line="240" w:lineRule="auto"/>
              <w:ind w:firstLine="480"/>
              <w:jc w:val="center"/>
              <w:rPr>
                <w:rFonts w:ascii="仿宋_GB2312" w:hAnsi="仿宋_GB2312" w:eastAsia="仿宋_GB2312" w:cs="仿宋_GB2312"/>
                <w:bCs/>
                <w:color w:val="auto"/>
                <w:sz w:val="24"/>
              </w:rPr>
            </w:pPr>
          </w:p>
        </w:tc>
        <w:tc>
          <w:tcPr>
            <w:tcW w:w="1140" w:type="dxa"/>
            <w:noWrap w:val="0"/>
            <w:vAlign w:val="center"/>
          </w:tcPr>
          <w:p w14:paraId="4063DFF2">
            <w:pPr>
              <w:pStyle w:val="19"/>
              <w:spacing w:line="240" w:lineRule="auto"/>
              <w:ind w:firstLine="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性 别</w:t>
            </w:r>
          </w:p>
        </w:tc>
        <w:tc>
          <w:tcPr>
            <w:tcW w:w="1139" w:type="dxa"/>
            <w:noWrap w:val="0"/>
            <w:vAlign w:val="center"/>
          </w:tcPr>
          <w:p w14:paraId="3CECF684">
            <w:pPr>
              <w:pStyle w:val="19"/>
              <w:spacing w:line="240" w:lineRule="auto"/>
              <w:ind w:firstLine="480"/>
              <w:jc w:val="center"/>
              <w:rPr>
                <w:rFonts w:ascii="仿宋_GB2312" w:hAnsi="仿宋_GB2312" w:eastAsia="仿宋_GB2312" w:cs="仿宋_GB2312"/>
                <w:bCs/>
                <w:color w:val="auto"/>
                <w:sz w:val="24"/>
              </w:rPr>
            </w:pPr>
          </w:p>
        </w:tc>
        <w:tc>
          <w:tcPr>
            <w:tcW w:w="759" w:type="dxa"/>
            <w:noWrap w:val="0"/>
            <w:vAlign w:val="center"/>
          </w:tcPr>
          <w:p w14:paraId="56663E8B">
            <w:pPr>
              <w:pStyle w:val="19"/>
              <w:spacing w:line="240" w:lineRule="auto"/>
              <w:ind w:firstLine="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联系 电话</w:t>
            </w:r>
          </w:p>
        </w:tc>
        <w:tc>
          <w:tcPr>
            <w:tcW w:w="1042" w:type="dxa"/>
            <w:noWrap w:val="0"/>
            <w:vAlign w:val="center"/>
          </w:tcPr>
          <w:p w14:paraId="150F3C66">
            <w:pPr>
              <w:pStyle w:val="19"/>
              <w:spacing w:line="240" w:lineRule="auto"/>
              <w:ind w:firstLine="480"/>
              <w:jc w:val="center"/>
              <w:rPr>
                <w:rFonts w:ascii="仿宋_GB2312" w:hAnsi="仿宋_GB2312" w:eastAsia="仿宋_GB2312" w:cs="仿宋_GB2312"/>
                <w:bCs/>
                <w:color w:val="auto"/>
                <w:sz w:val="24"/>
              </w:rPr>
            </w:pPr>
          </w:p>
        </w:tc>
      </w:tr>
      <w:tr w14:paraId="296C9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1418" w:type="dxa"/>
            <w:gridSpan w:val="2"/>
            <w:noWrap w:val="0"/>
            <w:vAlign w:val="center"/>
          </w:tcPr>
          <w:p w14:paraId="25B068BD">
            <w:pPr>
              <w:pStyle w:val="19"/>
              <w:spacing w:line="240" w:lineRule="auto"/>
              <w:ind w:firstLine="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文化</w:t>
            </w:r>
          </w:p>
          <w:p w14:paraId="492FF48A">
            <w:pPr>
              <w:pStyle w:val="19"/>
              <w:spacing w:line="240" w:lineRule="auto"/>
              <w:ind w:firstLine="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程度</w:t>
            </w:r>
          </w:p>
        </w:tc>
        <w:tc>
          <w:tcPr>
            <w:tcW w:w="1830" w:type="dxa"/>
            <w:gridSpan w:val="2"/>
            <w:noWrap w:val="0"/>
            <w:vAlign w:val="center"/>
          </w:tcPr>
          <w:p w14:paraId="12CD1C92">
            <w:pPr>
              <w:pStyle w:val="19"/>
              <w:spacing w:line="240" w:lineRule="auto"/>
              <w:ind w:firstLine="480"/>
              <w:jc w:val="center"/>
              <w:rPr>
                <w:rFonts w:ascii="仿宋_GB2312" w:hAnsi="仿宋_GB2312" w:eastAsia="仿宋_GB2312" w:cs="仿宋_GB2312"/>
                <w:bCs/>
                <w:color w:val="auto"/>
                <w:sz w:val="24"/>
              </w:rPr>
            </w:pPr>
          </w:p>
        </w:tc>
        <w:tc>
          <w:tcPr>
            <w:tcW w:w="1310" w:type="dxa"/>
            <w:noWrap w:val="0"/>
            <w:vAlign w:val="center"/>
          </w:tcPr>
          <w:p w14:paraId="7C5C3852">
            <w:pPr>
              <w:pStyle w:val="19"/>
              <w:spacing w:line="240" w:lineRule="auto"/>
              <w:ind w:firstLine="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毕业院校</w:t>
            </w:r>
          </w:p>
        </w:tc>
        <w:tc>
          <w:tcPr>
            <w:tcW w:w="1140" w:type="dxa"/>
            <w:noWrap w:val="0"/>
            <w:vAlign w:val="center"/>
          </w:tcPr>
          <w:p w14:paraId="4622EB00">
            <w:pPr>
              <w:pStyle w:val="19"/>
              <w:spacing w:line="240" w:lineRule="auto"/>
              <w:ind w:firstLine="480"/>
              <w:jc w:val="center"/>
              <w:rPr>
                <w:rFonts w:ascii="仿宋_GB2312" w:hAnsi="仿宋_GB2312" w:eastAsia="仿宋_GB2312" w:cs="仿宋_GB2312"/>
                <w:bCs/>
                <w:color w:val="auto"/>
                <w:sz w:val="24"/>
              </w:rPr>
            </w:pPr>
          </w:p>
        </w:tc>
        <w:tc>
          <w:tcPr>
            <w:tcW w:w="1898" w:type="dxa"/>
            <w:gridSpan w:val="2"/>
            <w:noWrap w:val="0"/>
            <w:vAlign w:val="center"/>
          </w:tcPr>
          <w:p w14:paraId="7FD35C8D">
            <w:pPr>
              <w:pStyle w:val="19"/>
              <w:spacing w:line="240" w:lineRule="auto"/>
              <w:ind w:firstLine="48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专 业</w:t>
            </w:r>
          </w:p>
        </w:tc>
        <w:tc>
          <w:tcPr>
            <w:tcW w:w="1042" w:type="dxa"/>
            <w:noWrap w:val="0"/>
            <w:vAlign w:val="center"/>
          </w:tcPr>
          <w:p w14:paraId="41E25D2D">
            <w:pPr>
              <w:pStyle w:val="19"/>
              <w:spacing w:line="240" w:lineRule="auto"/>
              <w:ind w:firstLine="480"/>
              <w:jc w:val="center"/>
              <w:rPr>
                <w:rFonts w:ascii="仿宋_GB2312" w:hAnsi="仿宋_GB2312" w:eastAsia="仿宋_GB2312" w:cs="仿宋_GB2312"/>
                <w:bCs/>
                <w:color w:val="auto"/>
                <w:sz w:val="24"/>
              </w:rPr>
            </w:pPr>
          </w:p>
        </w:tc>
      </w:tr>
      <w:tr w14:paraId="424D4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2278" w:type="dxa"/>
            <w:gridSpan w:val="3"/>
            <w:noWrap w:val="0"/>
            <w:vAlign w:val="center"/>
          </w:tcPr>
          <w:p w14:paraId="797195CC">
            <w:pPr>
              <w:pStyle w:val="19"/>
              <w:spacing w:line="240" w:lineRule="auto"/>
              <w:ind w:firstLine="48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身份证号码</w:t>
            </w:r>
          </w:p>
        </w:tc>
        <w:tc>
          <w:tcPr>
            <w:tcW w:w="2280" w:type="dxa"/>
            <w:gridSpan w:val="2"/>
            <w:noWrap w:val="0"/>
            <w:vAlign w:val="center"/>
          </w:tcPr>
          <w:p w14:paraId="1AA80585">
            <w:pPr>
              <w:pStyle w:val="19"/>
              <w:spacing w:line="240" w:lineRule="auto"/>
              <w:ind w:firstLine="480"/>
              <w:jc w:val="center"/>
              <w:rPr>
                <w:rFonts w:ascii="仿宋_GB2312" w:hAnsi="仿宋_GB2312" w:eastAsia="仿宋_GB2312" w:cs="仿宋_GB2312"/>
                <w:bCs/>
                <w:color w:val="auto"/>
                <w:sz w:val="24"/>
              </w:rPr>
            </w:pPr>
          </w:p>
        </w:tc>
        <w:tc>
          <w:tcPr>
            <w:tcW w:w="2279" w:type="dxa"/>
            <w:gridSpan w:val="2"/>
            <w:noWrap w:val="0"/>
            <w:vAlign w:val="center"/>
          </w:tcPr>
          <w:p w14:paraId="00679FCD">
            <w:pPr>
              <w:pStyle w:val="19"/>
              <w:spacing w:line="240" w:lineRule="auto"/>
              <w:ind w:firstLine="48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职务/职称</w:t>
            </w:r>
          </w:p>
        </w:tc>
        <w:tc>
          <w:tcPr>
            <w:tcW w:w="1801" w:type="dxa"/>
            <w:gridSpan w:val="2"/>
            <w:noWrap w:val="0"/>
            <w:vAlign w:val="center"/>
          </w:tcPr>
          <w:p w14:paraId="497BDF0B">
            <w:pPr>
              <w:pStyle w:val="19"/>
              <w:spacing w:line="240" w:lineRule="auto"/>
              <w:ind w:firstLine="480"/>
              <w:jc w:val="center"/>
              <w:rPr>
                <w:rFonts w:ascii="仿宋_GB2312" w:hAnsi="仿宋_GB2312" w:eastAsia="仿宋_GB2312" w:cs="仿宋_GB2312"/>
                <w:bCs/>
                <w:color w:val="auto"/>
                <w:sz w:val="24"/>
              </w:rPr>
            </w:pPr>
          </w:p>
        </w:tc>
      </w:tr>
      <w:tr w14:paraId="4CBAD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2" w:hRule="atLeast"/>
          <w:jc w:val="center"/>
        </w:trPr>
        <w:tc>
          <w:tcPr>
            <w:tcW w:w="1257" w:type="dxa"/>
            <w:noWrap w:val="0"/>
            <w:vAlign w:val="center"/>
          </w:tcPr>
          <w:p w14:paraId="634C3C65">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主</w:t>
            </w:r>
          </w:p>
          <w:p w14:paraId="0BA97BAF">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要</w:t>
            </w:r>
          </w:p>
          <w:p w14:paraId="4F9E96B0">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工</w:t>
            </w:r>
          </w:p>
          <w:p w14:paraId="400FC7DB">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作</w:t>
            </w:r>
          </w:p>
          <w:p w14:paraId="437EC068">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经</w:t>
            </w:r>
          </w:p>
          <w:p w14:paraId="7DC24E91">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历</w:t>
            </w:r>
          </w:p>
        </w:tc>
        <w:tc>
          <w:tcPr>
            <w:tcW w:w="7381" w:type="dxa"/>
            <w:gridSpan w:val="8"/>
            <w:noWrap w:val="0"/>
            <w:vAlign w:val="center"/>
          </w:tcPr>
          <w:p w14:paraId="129F22CC">
            <w:pPr>
              <w:pStyle w:val="19"/>
              <w:spacing w:line="240" w:lineRule="auto"/>
              <w:ind w:firstLine="480"/>
              <w:jc w:val="center"/>
              <w:rPr>
                <w:rFonts w:ascii="仿宋_GB2312" w:hAnsi="仿宋_GB2312" w:eastAsia="仿宋_GB2312" w:cs="仿宋_GB2312"/>
                <w:bCs/>
                <w:color w:val="auto"/>
                <w:sz w:val="24"/>
              </w:rPr>
            </w:pPr>
          </w:p>
          <w:p w14:paraId="7B7727FB">
            <w:pPr>
              <w:pStyle w:val="19"/>
              <w:spacing w:line="240" w:lineRule="auto"/>
              <w:ind w:firstLine="480"/>
              <w:jc w:val="center"/>
              <w:rPr>
                <w:rFonts w:ascii="仿宋_GB2312" w:hAnsi="仿宋_GB2312" w:eastAsia="仿宋_GB2312" w:cs="仿宋_GB2312"/>
                <w:bCs/>
                <w:color w:val="auto"/>
                <w:sz w:val="24"/>
              </w:rPr>
            </w:pPr>
          </w:p>
          <w:p w14:paraId="773A13D0">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工作简历</w:t>
            </w:r>
          </w:p>
          <w:p w14:paraId="7456296F">
            <w:pPr>
              <w:pStyle w:val="19"/>
              <w:spacing w:line="240" w:lineRule="auto"/>
              <w:ind w:firstLine="0"/>
              <w:jc w:val="both"/>
              <w:rPr>
                <w:rFonts w:ascii="仿宋_GB2312" w:hAnsi="仿宋_GB2312" w:eastAsia="仿宋_GB2312" w:cs="仿宋_GB2312"/>
                <w:bCs/>
                <w:color w:val="auto"/>
                <w:sz w:val="24"/>
              </w:rPr>
            </w:pPr>
          </w:p>
        </w:tc>
      </w:tr>
      <w:tr w14:paraId="4A006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4" w:hRule="atLeast"/>
          <w:jc w:val="center"/>
        </w:trPr>
        <w:tc>
          <w:tcPr>
            <w:tcW w:w="1257" w:type="dxa"/>
            <w:noWrap w:val="0"/>
            <w:vAlign w:val="center"/>
          </w:tcPr>
          <w:p w14:paraId="3D851BF1">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获</w:t>
            </w:r>
          </w:p>
          <w:p w14:paraId="26C5F4D9">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得</w:t>
            </w:r>
          </w:p>
          <w:p w14:paraId="74329B22">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奖</w:t>
            </w:r>
          </w:p>
          <w:p w14:paraId="4A349791">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惩</w:t>
            </w:r>
          </w:p>
          <w:p w14:paraId="62CAB996">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情</w:t>
            </w:r>
          </w:p>
          <w:p w14:paraId="7F6A2BC7">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况</w:t>
            </w:r>
          </w:p>
        </w:tc>
        <w:tc>
          <w:tcPr>
            <w:tcW w:w="7381" w:type="dxa"/>
            <w:gridSpan w:val="8"/>
            <w:noWrap w:val="0"/>
            <w:vAlign w:val="center"/>
          </w:tcPr>
          <w:p w14:paraId="0F962DEA">
            <w:pPr>
              <w:pStyle w:val="19"/>
              <w:spacing w:line="240" w:lineRule="auto"/>
              <w:ind w:firstLine="480"/>
              <w:jc w:val="center"/>
              <w:rPr>
                <w:rFonts w:ascii="仿宋_GB2312" w:hAnsi="仿宋_GB2312" w:eastAsia="仿宋_GB2312" w:cs="仿宋_GB2312"/>
                <w:bCs/>
                <w:color w:val="auto"/>
                <w:sz w:val="24"/>
              </w:rPr>
            </w:pPr>
          </w:p>
          <w:p w14:paraId="233D0015">
            <w:pPr>
              <w:pStyle w:val="19"/>
              <w:spacing w:line="240" w:lineRule="auto"/>
              <w:ind w:firstLine="48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从事（或类似）工作获得的奖惩情况</w:t>
            </w:r>
          </w:p>
          <w:p w14:paraId="6605F64A">
            <w:pPr>
              <w:pStyle w:val="19"/>
              <w:spacing w:line="240" w:lineRule="auto"/>
              <w:ind w:firstLine="480"/>
              <w:jc w:val="center"/>
              <w:rPr>
                <w:rFonts w:ascii="仿宋_GB2312" w:hAnsi="仿宋_GB2312" w:eastAsia="仿宋_GB2312" w:cs="仿宋_GB2312"/>
                <w:bCs/>
                <w:color w:val="auto"/>
                <w:sz w:val="24"/>
              </w:rPr>
            </w:pPr>
          </w:p>
          <w:p w14:paraId="2DC4328F">
            <w:pPr>
              <w:pStyle w:val="19"/>
              <w:spacing w:line="240" w:lineRule="auto"/>
              <w:ind w:firstLine="480"/>
              <w:jc w:val="center"/>
              <w:rPr>
                <w:rFonts w:ascii="仿宋_GB2312" w:hAnsi="仿宋_GB2312" w:eastAsia="仿宋_GB2312" w:cs="仿宋_GB2312"/>
                <w:bCs/>
                <w:color w:val="auto"/>
                <w:sz w:val="24"/>
              </w:rPr>
            </w:pPr>
          </w:p>
        </w:tc>
      </w:tr>
      <w:tr w14:paraId="787E5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3" w:hRule="atLeast"/>
          <w:jc w:val="center"/>
        </w:trPr>
        <w:tc>
          <w:tcPr>
            <w:tcW w:w="8638" w:type="dxa"/>
            <w:gridSpan w:val="9"/>
            <w:noWrap w:val="0"/>
            <w:vAlign w:val="center"/>
          </w:tcPr>
          <w:p w14:paraId="5B7312F3">
            <w:pPr>
              <w:pStyle w:val="19"/>
              <w:spacing w:line="240" w:lineRule="auto"/>
              <w:ind w:firstLine="24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备注：</w:t>
            </w:r>
          </w:p>
          <w:p w14:paraId="1C839884">
            <w:pPr>
              <w:pStyle w:val="19"/>
              <w:spacing w:line="240" w:lineRule="auto"/>
              <w:ind w:firstLine="240"/>
              <w:rPr>
                <w:rFonts w:ascii="仿宋_GB2312" w:hAnsi="仿宋_GB2312" w:eastAsia="仿宋_GB2312" w:cs="仿宋_GB2312"/>
                <w:bCs/>
                <w:color w:val="auto"/>
                <w:sz w:val="24"/>
              </w:rPr>
            </w:pPr>
          </w:p>
          <w:p w14:paraId="1DCA474C">
            <w:pPr>
              <w:pStyle w:val="19"/>
              <w:spacing w:line="240" w:lineRule="auto"/>
              <w:ind w:firstLine="240"/>
              <w:rPr>
                <w:rFonts w:ascii="仿宋_GB2312" w:hAnsi="仿宋_GB2312" w:eastAsia="仿宋_GB2312" w:cs="仿宋_GB2312"/>
                <w:bCs/>
                <w:color w:val="auto"/>
                <w:sz w:val="24"/>
              </w:rPr>
            </w:pPr>
          </w:p>
          <w:p w14:paraId="1FE1C313">
            <w:pPr>
              <w:pStyle w:val="19"/>
              <w:spacing w:line="240" w:lineRule="auto"/>
              <w:ind w:firstLine="240"/>
              <w:rPr>
                <w:rFonts w:ascii="仿宋_GB2312" w:hAnsi="仿宋_GB2312" w:eastAsia="仿宋_GB2312" w:cs="仿宋_GB2312"/>
                <w:bCs/>
                <w:color w:val="auto"/>
                <w:sz w:val="24"/>
              </w:rPr>
            </w:pPr>
          </w:p>
          <w:p w14:paraId="0F08E8E3">
            <w:pPr>
              <w:pStyle w:val="19"/>
              <w:spacing w:line="240" w:lineRule="auto"/>
              <w:ind w:firstLine="240"/>
              <w:rPr>
                <w:rFonts w:ascii="仿宋_GB2312" w:hAnsi="仿宋_GB2312" w:eastAsia="仿宋_GB2312" w:cs="仿宋_GB2312"/>
                <w:bCs/>
                <w:color w:val="auto"/>
                <w:sz w:val="24"/>
              </w:rPr>
            </w:pPr>
          </w:p>
          <w:p w14:paraId="0357FBF1">
            <w:pPr>
              <w:pStyle w:val="19"/>
              <w:spacing w:line="240" w:lineRule="auto"/>
              <w:ind w:firstLine="240"/>
              <w:rPr>
                <w:rFonts w:ascii="仿宋_GB2312" w:hAnsi="仿宋_GB2312" w:eastAsia="仿宋_GB2312" w:cs="仿宋_GB2312"/>
                <w:bCs/>
                <w:color w:val="auto"/>
                <w:sz w:val="24"/>
              </w:rPr>
            </w:pPr>
          </w:p>
        </w:tc>
      </w:tr>
    </w:tbl>
    <w:p w14:paraId="483B09E1">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注：项目负责人应为</w:t>
      </w:r>
      <w:r>
        <w:rPr>
          <w:rFonts w:hint="eastAsia" w:ascii="仿宋_GB2312" w:hAnsi="仿宋_GB2312" w:eastAsia="仿宋_GB2312" w:cs="仿宋_GB2312"/>
          <w:color w:val="auto"/>
          <w:sz w:val="24"/>
          <w:lang w:eastAsia="zh-CN"/>
        </w:rPr>
        <w:t>供应商</w:t>
      </w:r>
      <w:r>
        <w:rPr>
          <w:rFonts w:hint="eastAsia" w:ascii="仿宋_GB2312" w:hAnsi="仿宋_GB2312" w:eastAsia="仿宋_GB2312" w:cs="仿宋_GB2312"/>
          <w:color w:val="auto"/>
          <w:sz w:val="24"/>
        </w:rPr>
        <w:t>正式员工，如该人员为退养或退休人员，由其原编制所在单位出具人员身份状态书面证明）及劳动（劳务）合同（复印件）。提供学历证书</w:t>
      </w:r>
      <w:r>
        <w:rPr>
          <w:rFonts w:hint="eastAsia" w:ascii="仿宋_GB2312" w:hAnsi="仿宋_GB2312" w:eastAsia="仿宋_GB2312" w:cs="仿宋_GB2312"/>
          <w:color w:val="auto"/>
          <w:sz w:val="24"/>
          <w:lang w:val="en-US" w:eastAsia="zh-CN"/>
        </w:rPr>
        <w:t>等相关</w:t>
      </w:r>
      <w:r>
        <w:rPr>
          <w:rFonts w:hint="eastAsia" w:ascii="仿宋_GB2312" w:hAnsi="仿宋_GB2312" w:eastAsia="仿宋_GB2312" w:cs="仿宋_GB2312"/>
          <w:color w:val="auto"/>
          <w:sz w:val="24"/>
        </w:rPr>
        <w:t>证书复印件。</w:t>
      </w:r>
      <w:bookmarkEnd w:id="242"/>
      <w:bookmarkEnd w:id="243"/>
      <w:bookmarkEnd w:id="244"/>
    </w:p>
    <w:p w14:paraId="354AACA3">
      <w:pPr>
        <w:spacing w:line="453" w:lineRule="atLeast"/>
        <w:rPr>
          <w:rFonts w:ascii="仿宋_GB2312" w:hAnsi="仿宋_GB2312" w:eastAsia="仿宋_GB2312" w:cs="仿宋_GB2312"/>
          <w:color w:val="auto"/>
          <w:sz w:val="36"/>
          <w:szCs w:val="36"/>
        </w:rPr>
      </w:pPr>
    </w:p>
    <w:p w14:paraId="0DD98373">
      <w:pPr>
        <w:pStyle w:val="6"/>
        <w:rPr>
          <w:rFonts w:ascii="仿宋_GB2312" w:hAnsi="仿宋_GB2312" w:eastAsia="仿宋_GB2312" w:cs="仿宋_GB2312"/>
          <w:color w:val="auto"/>
          <w:sz w:val="36"/>
          <w:szCs w:val="36"/>
        </w:rPr>
      </w:pPr>
    </w:p>
    <w:p w14:paraId="605C37EC">
      <w:pPr>
        <w:spacing w:line="453" w:lineRule="atLeast"/>
        <w:ind w:left="510"/>
        <w:jc w:val="center"/>
        <w:rPr>
          <w:rFonts w:hint="eastAsia" w:ascii="仿宋_GB2312" w:hAnsi="仿宋_GB2312" w:eastAsia="仿宋_GB2312" w:cs="仿宋_GB2312"/>
          <w:color w:val="auto"/>
          <w:sz w:val="36"/>
          <w:szCs w:val="36"/>
        </w:rPr>
      </w:pPr>
    </w:p>
    <w:p w14:paraId="3FA81339">
      <w:pPr>
        <w:spacing w:line="453" w:lineRule="atLeast"/>
        <w:ind w:left="510"/>
        <w:jc w:val="center"/>
        <w:rPr>
          <w:rFonts w:hint="eastAsia" w:ascii="仿宋_GB2312" w:hAnsi="仿宋_GB2312" w:eastAsia="仿宋_GB2312" w:cs="仿宋_GB2312"/>
          <w:color w:val="auto"/>
          <w:sz w:val="36"/>
          <w:szCs w:val="36"/>
        </w:rPr>
      </w:pPr>
    </w:p>
    <w:p w14:paraId="56469B72">
      <w:pPr>
        <w:numPr>
          <w:ilvl w:val="0"/>
          <w:numId w:val="0"/>
        </w:numPr>
        <w:spacing w:line="440" w:lineRule="exact"/>
        <w:ind w:left="440" w:leftChars="0" w:hanging="40" w:firstLineChars="0"/>
        <w:jc w:val="center"/>
        <w:rPr>
          <w:rFonts w:hint="eastAsia" w:ascii="黑体" w:hAnsi="黑体" w:eastAsia="黑体"/>
          <w:b/>
          <w:sz w:val="32"/>
          <w:szCs w:val="32"/>
          <w:lang w:val="en-US" w:eastAsia="zh-CN"/>
        </w:rPr>
      </w:pPr>
      <w:r>
        <w:rPr>
          <w:rFonts w:hint="eastAsia" w:ascii="黑体" w:hAnsi="黑体" w:eastAsia="黑体"/>
          <w:b/>
          <w:sz w:val="32"/>
          <w:szCs w:val="32"/>
          <w:lang w:val="en-US" w:eastAsia="zh-CN"/>
        </w:rPr>
        <w:t>十八、拟投入本项目作业车辆汇总表</w:t>
      </w:r>
    </w:p>
    <w:tbl>
      <w:tblPr>
        <w:tblStyle w:val="43"/>
        <w:tblW w:w="8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587"/>
        <w:gridCol w:w="950"/>
        <w:gridCol w:w="863"/>
        <w:gridCol w:w="812"/>
        <w:gridCol w:w="900"/>
        <w:gridCol w:w="913"/>
        <w:gridCol w:w="1125"/>
      </w:tblGrid>
      <w:tr w14:paraId="44DA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52" w:type="dxa"/>
            <w:noWrap w:val="0"/>
            <w:vAlign w:val="center"/>
          </w:tcPr>
          <w:p w14:paraId="48F99FD4">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所有人</w:t>
            </w:r>
          </w:p>
        </w:tc>
        <w:tc>
          <w:tcPr>
            <w:tcW w:w="1587" w:type="dxa"/>
            <w:noWrap w:val="0"/>
            <w:vAlign w:val="center"/>
          </w:tcPr>
          <w:p w14:paraId="611F83F5">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车辆类型</w:t>
            </w:r>
          </w:p>
        </w:tc>
        <w:tc>
          <w:tcPr>
            <w:tcW w:w="950" w:type="dxa"/>
            <w:noWrap w:val="0"/>
            <w:vAlign w:val="center"/>
          </w:tcPr>
          <w:p w14:paraId="57B95D40">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购置日期</w:t>
            </w:r>
          </w:p>
        </w:tc>
        <w:tc>
          <w:tcPr>
            <w:tcW w:w="863" w:type="dxa"/>
            <w:noWrap w:val="0"/>
            <w:vAlign w:val="center"/>
          </w:tcPr>
          <w:p w14:paraId="00F561F8">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品牌型号</w:t>
            </w:r>
          </w:p>
        </w:tc>
        <w:tc>
          <w:tcPr>
            <w:tcW w:w="812" w:type="dxa"/>
            <w:noWrap w:val="0"/>
            <w:vAlign w:val="center"/>
          </w:tcPr>
          <w:p w14:paraId="4C01394D">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皮重</w:t>
            </w:r>
          </w:p>
        </w:tc>
        <w:tc>
          <w:tcPr>
            <w:tcW w:w="900" w:type="dxa"/>
            <w:noWrap w:val="0"/>
            <w:vAlign w:val="center"/>
          </w:tcPr>
          <w:p w14:paraId="1F7756A6">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载重量</w:t>
            </w:r>
          </w:p>
        </w:tc>
        <w:tc>
          <w:tcPr>
            <w:tcW w:w="913" w:type="dxa"/>
            <w:noWrap w:val="0"/>
          </w:tcPr>
          <w:p w14:paraId="13A7547E">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使用年限</w:t>
            </w:r>
          </w:p>
        </w:tc>
        <w:tc>
          <w:tcPr>
            <w:tcW w:w="1125" w:type="dxa"/>
            <w:noWrap w:val="0"/>
          </w:tcPr>
          <w:p w14:paraId="69E65082">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是否已具有</w:t>
            </w:r>
          </w:p>
        </w:tc>
      </w:tr>
      <w:tr w14:paraId="3134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14:paraId="6AEA5320">
            <w:pPr>
              <w:pStyle w:val="19"/>
              <w:spacing w:line="360" w:lineRule="auto"/>
              <w:ind w:firstLine="480"/>
              <w:jc w:val="center"/>
              <w:rPr>
                <w:rFonts w:ascii="仿宋_GB2312" w:hAnsi="仿宋_GB2312" w:eastAsia="仿宋_GB2312" w:cs="仿宋_GB2312"/>
                <w:color w:val="auto"/>
                <w:sz w:val="24"/>
              </w:rPr>
            </w:pPr>
          </w:p>
        </w:tc>
        <w:tc>
          <w:tcPr>
            <w:tcW w:w="1587" w:type="dxa"/>
            <w:noWrap w:val="0"/>
            <w:vAlign w:val="center"/>
          </w:tcPr>
          <w:p w14:paraId="1CB87BB1">
            <w:pPr>
              <w:pStyle w:val="19"/>
              <w:spacing w:line="360" w:lineRule="auto"/>
              <w:ind w:firstLine="0"/>
              <w:rPr>
                <w:rFonts w:ascii="仿宋_GB2312" w:hAnsi="仿宋_GB2312" w:eastAsia="仿宋_GB2312" w:cs="仿宋_GB2312"/>
                <w:color w:val="auto"/>
                <w:sz w:val="24"/>
              </w:rPr>
            </w:pPr>
          </w:p>
        </w:tc>
        <w:tc>
          <w:tcPr>
            <w:tcW w:w="950" w:type="dxa"/>
            <w:noWrap w:val="0"/>
            <w:vAlign w:val="center"/>
          </w:tcPr>
          <w:p w14:paraId="4DA1CA67">
            <w:pPr>
              <w:pStyle w:val="19"/>
              <w:spacing w:line="360" w:lineRule="auto"/>
              <w:ind w:firstLine="480"/>
              <w:jc w:val="center"/>
              <w:rPr>
                <w:rFonts w:ascii="仿宋_GB2312" w:hAnsi="仿宋_GB2312" w:eastAsia="仿宋_GB2312" w:cs="仿宋_GB2312"/>
                <w:color w:val="auto"/>
                <w:sz w:val="24"/>
              </w:rPr>
            </w:pPr>
          </w:p>
        </w:tc>
        <w:tc>
          <w:tcPr>
            <w:tcW w:w="863" w:type="dxa"/>
            <w:noWrap w:val="0"/>
            <w:vAlign w:val="center"/>
          </w:tcPr>
          <w:p w14:paraId="0B958C36">
            <w:pPr>
              <w:pStyle w:val="19"/>
              <w:spacing w:line="360" w:lineRule="auto"/>
              <w:ind w:firstLine="480"/>
              <w:jc w:val="center"/>
              <w:rPr>
                <w:rFonts w:ascii="仿宋_GB2312" w:hAnsi="仿宋_GB2312" w:eastAsia="仿宋_GB2312" w:cs="仿宋_GB2312"/>
                <w:color w:val="auto"/>
                <w:sz w:val="24"/>
              </w:rPr>
            </w:pPr>
          </w:p>
        </w:tc>
        <w:tc>
          <w:tcPr>
            <w:tcW w:w="812" w:type="dxa"/>
            <w:noWrap w:val="0"/>
            <w:vAlign w:val="center"/>
          </w:tcPr>
          <w:p w14:paraId="16F0BE85">
            <w:pPr>
              <w:pStyle w:val="19"/>
              <w:spacing w:line="360" w:lineRule="auto"/>
              <w:ind w:firstLine="480"/>
              <w:jc w:val="center"/>
              <w:rPr>
                <w:rFonts w:ascii="仿宋_GB2312" w:hAnsi="仿宋_GB2312" w:eastAsia="仿宋_GB2312" w:cs="仿宋_GB2312"/>
                <w:color w:val="auto"/>
                <w:sz w:val="24"/>
              </w:rPr>
            </w:pPr>
          </w:p>
        </w:tc>
        <w:tc>
          <w:tcPr>
            <w:tcW w:w="900" w:type="dxa"/>
            <w:noWrap w:val="0"/>
          </w:tcPr>
          <w:p w14:paraId="39A8B998">
            <w:pPr>
              <w:pStyle w:val="19"/>
              <w:spacing w:line="360" w:lineRule="auto"/>
              <w:ind w:firstLine="480"/>
              <w:jc w:val="center"/>
              <w:rPr>
                <w:rFonts w:ascii="仿宋_GB2312" w:hAnsi="仿宋_GB2312" w:eastAsia="仿宋_GB2312" w:cs="仿宋_GB2312"/>
                <w:color w:val="auto"/>
                <w:sz w:val="24"/>
              </w:rPr>
            </w:pPr>
          </w:p>
        </w:tc>
        <w:tc>
          <w:tcPr>
            <w:tcW w:w="913" w:type="dxa"/>
            <w:noWrap w:val="0"/>
          </w:tcPr>
          <w:p w14:paraId="0069B271">
            <w:pPr>
              <w:pStyle w:val="19"/>
              <w:spacing w:line="360" w:lineRule="auto"/>
              <w:ind w:firstLine="480"/>
              <w:jc w:val="center"/>
              <w:rPr>
                <w:rFonts w:ascii="仿宋_GB2312" w:hAnsi="仿宋_GB2312" w:eastAsia="仿宋_GB2312" w:cs="仿宋_GB2312"/>
                <w:color w:val="auto"/>
                <w:sz w:val="24"/>
              </w:rPr>
            </w:pPr>
          </w:p>
        </w:tc>
        <w:tc>
          <w:tcPr>
            <w:tcW w:w="1125" w:type="dxa"/>
            <w:noWrap w:val="0"/>
          </w:tcPr>
          <w:p w14:paraId="7B1DE205">
            <w:pPr>
              <w:pStyle w:val="19"/>
              <w:spacing w:line="360" w:lineRule="auto"/>
              <w:ind w:firstLine="480"/>
              <w:jc w:val="center"/>
              <w:rPr>
                <w:rFonts w:ascii="仿宋_GB2312" w:hAnsi="仿宋_GB2312" w:eastAsia="仿宋_GB2312" w:cs="仿宋_GB2312"/>
                <w:color w:val="auto"/>
                <w:sz w:val="24"/>
              </w:rPr>
            </w:pPr>
          </w:p>
        </w:tc>
      </w:tr>
      <w:tr w14:paraId="56C8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14:paraId="7165EE56">
            <w:pPr>
              <w:pStyle w:val="19"/>
              <w:spacing w:line="360" w:lineRule="auto"/>
              <w:ind w:firstLine="480"/>
              <w:jc w:val="center"/>
              <w:rPr>
                <w:rFonts w:ascii="仿宋_GB2312" w:hAnsi="仿宋_GB2312" w:eastAsia="仿宋_GB2312" w:cs="仿宋_GB2312"/>
                <w:color w:val="auto"/>
                <w:sz w:val="24"/>
              </w:rPr>
            </w:pPr>
          </w:p>
        </w:tc>
        <w:tc>
          <w:tcPr>
            <w:tcW w:w="1587" w:type="dxa"/>
            <w:noWrap w:val="0"/>
            <w:vAlign w:val="center"/>
          </w:tcPr>
          <w:p w14:paraId="788C842B">
            <w:pPr>
              <w:pStyle w:val="19"/>
              <w:spacing w:line="360" w:lineRule="auto"/>
              <w:ind w:firstLine="0"/>
              <w:rPr>
                <w:rFonts w:ascii="仿宋_GB2312" w:hAnsi="仿宋_GB2312" w:eastAsia="仿宋_GB2312" w:cs="仿宋_GB2312"/>
                <w:color w:val="auto"/>
                <w:sz w:val="24"/>
              </w:rPr>
            </w:pPr>
          </w:p>
        </w:tc>
        <w:tc>
          <w:tcPr>
            <w:tcW w:w="950" w:type="dxa"/>
            <w:noWrap w:val="0"/>
            <w:vAlign w:val="center"/>
          </w:tcPr>
          <w:p w14:paraId="53EA405F">
            <w:pPr>
              <w:pStyle w:val="19"/>
              <w:spacing w:line="360" w:lineRule="auto"/>
              <w:ind w:firstLine="480"/>
              <w:jc w:val="center"/>
              <w:rPr>
                <w:rFonts w:ascii="仿宋_GB2312" w:hAnsi="仿宋_GB2312" w:eastAsia="仿宋_GB2312" w:cs="仿宋_GB2312"/>
                <w:color w:val="auto"/>
                <w:sz w:val="24"/>
              </w:rPr>
            </w:pPr>
          </w:p>
        </w:tc>
        <w:tc>
          <w:tcPr>
            <w:tcW w:w="863" w:type="dxa"/>
            <w:noWrap w:val="0"/>
            <w:vAlign w:val="center"/>
          </w:tcPr>
          <w:p w14:paraId="19AE820B">
            <w:pPr>
              <w:pStyle w:val="19"/>
              <w:spacing w:line="360" w:lineRule="auto"/>
              <w:ind w:firstLine="480"/>
              <w:jc w:val="center"/>
              <w:rPr>
                <w:rFonts w:ascii="仿宋_GB2312" w:hAnsi="仿宋_GB2312" w:eastAsia="仿宋_GB2312" w:cs="仿宋_GB2312"/>
                <w:color w:val="auto"/>
                <w:sz w:val="24"/>
              </w:rPr>
            </w:pPr>
          </w:p>
        </w:tc>
        <w:tc>
          <w:tcPr>
            <w:tcW w:w="812" w:type="dxa"/>
            <w:noWrap w:val="0"/>
            <w:vAlign w:val="center"/>
          </w:tcPr>
          <w:p w14:paraId="64293B6A">
            <w:pPr>
              <w:pStyle w:val="19"/>
              <w:spacing w:line="360" w:lineRule="auto"/>
              <w:ind w:firstLine="480"/>
              <w:jc w:val="center"/>
              <w:rPr>
                <w:rFonts w:ascii="仿宋_GB2312" w:hAnsi="仿宋_GB2312" w:eastAsia="仿宋_GB2312" w:cs="仿宋_GB2312"/>
                <w:color w:val="auto"/>
                <w:sz w:val="24"/>
              </w:rPr>
            </w:pPr>
          </w:p>
        </w:tc>
        <w:tc>
          <w:tcPr>
            <w:tcW w:w="900" w:type="dxa"/>
            <w:noWrap w:val="0"/>
          </w:tcPr>
          <w:p w14:paraId="41D73187">
            <w:pPr>
              <w:pStyle w:val="19"/>
              <w:spacing w:line="360" w:lineRule="auto"/>
              <w:ind w:firstLine="480"/>
              <w:jc w:val="center"/>
              <w:rPr>
                <w:rFonts w:ascii="仿宋_GB2312" w:hAnsi="仿宋_GB2312" w:eastAsia="仿宋_GB2312" w:cs="仿宋_GB2312"/>
                <w:color w:val="auto"/>
                <w:sz w:val="24"/>
              </w:rPr>
            </w:pPr>
          </w:p>
        </w:tc>
        <w:tc>
          <w:tcPr>
            <w:tcW w:w="913" w:type="dxa"/>
            <w:noWrap w:val="0"/>
          </w:tcPr>
          <w:p w14:paraId="1EB9C50D">
            <w:pPr>
              <w:pStyle w:val="19"/>
              <w:spacing w:line="360" w:lineRule="auto"/>
              <w:ind w:firstLine="480"/>
              <w:jc w:val="center"/>
              <w:rPr>
                <w:rFonts w:ascii="仿宋_GB2312" w:hAnsi="仿宋_GB2312" w:eastAsia="仿宋_GB2312" w:cs="仿宋_GB2312"/>
                <w:color w:val="auto"/>
                <w:sz w:val="24"/>
              </w:rPr>
            </w:pPr>
          </w:p>
        </w:tc>
        <w:tc>
          <w:tcPr>
            <w:tcW w:w="1125" w:type="dxa"/>
            <w:noWrap w:val="0"/>
          </w:tcPr>
          <w:p w14:paraId="493FD7C2">
            <w:pPr>
              <w:pStyle w:val="19"/>
              <w:spacing w:line="360" w:lineRule="auto"/>
              <w:ind w:firstLine="480"/>
              <w:jc w:val="center"/>
              <w:rPr>
                <w:rFonts w:ascii="仿宋_GB2312" w:hAnsi="仿宋_GB2312" w:eastAsia="仿宋_GB2312" w:cs="仿宋_GB2312"/>
                <w:color w:val="auto"/>
                <w:sz w:val="24"/>
              </w:rPr>
            </w:pPr>
          </w:p>
        </w:tc>
      </w:tr>
      <w:tr w14:paraId="785B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14:paraId="297EB410">
            <w:pPr>
              <w:pStyle w:val="19"/>
              <w:spacing w:line="360" w:lineRule="auto"/>
              <w:ind w:firstLine="480"/>
              <w:jc w:val="center"/>
              <w:rPr>
                <w:rFonts w:ascii="仿宋_GB2312" w:hAnsi="仿宋_GB2312" w:eastAsia="仿宋_GB2312" w:cs="仿宋_GB2312"/>
                <w:color w:val="auto"/>
                <w:sz w:val="24"/>
              </w:rPr>
            </w:pPr>
          </w:p>
        </w:tc>
        <w:tc>
          <w:tcPr>
            <w:tcW w:w="1587" w:type="dxa"/>
            <w:noWrap w:val="0"/>
            <w:vAlign w:val="center"/>
          </w:tcPr>
          <w:p w14:paraId="7D4B5888">
            <w:pPr>
              <w:pStyle w:val="19"/>
              <w:spacing w:line="360" w:lineRule="auto"/>
              <w:ind w:firstLine="0"/>
              <w:rPr>
                <w:rFonts w:ascii="仿宋_GB2312" w:hAnsi="仿宋_GB2312" w:eastAsia="仿宋_GB2312" w:cs="仿宋_GB2312"/>
                <w:color w:val="auto"/>
                <w:sz w:val="24"/>
              </w:rPr>
            </w:pPr>
          </w:p>
        </w:tc>
        <w:tc>
          <w:tcPr>
            <w:tcW w:w="950" w:type="dxa"/>
            <w:noWrap w:val="0"/>
            <w:vAlign w:val="center"/>
          </w:tcPr>
          <w:p w14:paraId="6A53859F">
            <w:pPr>
              <w:pStyle w:val="19"/>
              <w:spacing w:line="360" w:lineRule="auto"/>
              <w:ind w:firstLine="480"/>
              <w:jc w:val="center"/>
              <w:rPr>
                <w:rFonts w:ascii="仿宋_GB2312" w:hAnsi="仿宋_GB2312" w:eastAsia="仿宋_GB2312" w:cs="仿宋_GB2312"/>
                <w:color w:val="auto"/>
                <w:sz w:val="24"/>
              </w:rPr>
            </w:pPr>
          </w:p>
        </w:tc>
        <w:tc>
          <w:tcPr>
            <w:tcW w:w="863" w:type="dxa"/>
            <w:noWrap w:val="0"/>
            <w:vAlign w:val="center"/>
          </w:tcPr>
          <w:p w14:paraId="26F07853">
            <w:pPr>
              <w:pStyle w:val="19"/>
              <w:spacing w:line="360" w:lineRule="auto"/>
              <w:ind w:firstLine="480"/>
              <w:jc w:val="center"/>
              <w:rPr>
                <w:rFonts w:ascii="仿宋_GB2312" w:hAnsi="仿宋_GB2312" w:eastAsia="仿宋_GB2312" w:cs="仿宋_GB2312"/>
                <w:color w:val="auto"/>
                <w:sz w:val="24"/>
              </w:rPr>
            </w:pPr>
          </w:p>
        </w:tc>
        <w:tc>
          <w:tcPr>
            <w:tcW w:w="812" w:type="dxa"/>
            <w:noWrap w:val="0"/>
            <w:vAlign w:val="center"/>
          </w:tcPr>
          <w:p w14:paraId="2C6DE5A7">
            <w:pPr>
              <w:pStyle w:val="19"/>
              <w:spacing w:line="360" w:lineRule="auto"/>
              <w:ind w:firstLine="480"/>
              <w:jc w:val="center"/>
              <w:rPr>
                <w:rFonts w:ascii="仿宋_GB2312" w:hAnsi="仿宋_GB2312" w:eastAsia="仿宋_GB2312" w:cs="仿宋_GB2312"/>
                <w:color w:val="auto"/>
                <w:sz w:val="24"/>
              </w:rPr>
            </w:pPr>
          </w:p>
        </w:tc>
        <w:tc>
          <w:tcPr>
            <w:tcW w:w="900" w:type="dxa"/>
            <w:noWrap w:val="0"/>
          </w:tcPr>
          <w:p w14:paraId="605367EB">
            <w:pPr>
              <w:pStyle w:val="19"/>
              <w:spacing w:line="360" w:lineRule="auto"/>
              <w:ind w:firstLine="480"/>
              <w:jc w:val="center"/>
              <w:rPr>
                <w:rFonts w:ascii="仿宋_GB2312" w:hAnsi="仿宋_GB2312" w:eastAsia="仿宋_GB2312" w:cs="仿宋_GB2312"/>
                <w:color w:val="auto"/>
                <w:sz w:val="24"/>
              </w:rPr>
            </w:pPr>
          </w:p>
        </w:tc>
        <w:tc>
          <w:tcPr>
            <w:tcW w:w="913" w:type="dxa"/>
            <w:noWrap w:val="0"/>
          </w:tcPr>
          <w:p w14:paraId="75841F08">
            <w:pPr>
              <w:pStyle w:val="19"/>
              <w:spacing w:line="360" w:lineRule="auto"/>
              <w:ind w:firstLine="480"/>
              <w:jc w:val="center"/>
              <w:rPr>
                <w:rFonts w:ascii="仿宋_GB2312" w:hAnsi="仿宋_GB2312" w:eastAsia="仿宋_GB2312" w:cs="仿宋_GB2312"/>
                <w:color w:val="auto"/>
                <w:sz w:val="24"/>
              </w:rPr>
            </w:pPr>
          </w:p>
        </w:tc>
        <w:tc>
          <w:tcPr>
            <w:tcW w:w="1125" w:type="dxa"/>
            <w:noWrap w:val="0"/>
          </w:tcPr>
          <w:p w14:paraId="798C4AD0">
            <w:pPr>
              <w:pStyle w:val="19"/>
              <w:spacing w:line="360" w:lineRule="auto"/>
              <w:ind w:firstLine="480"/>
              <w:jc w:val="center"/>
              <w:rPr>
                <w:rFonts w:ascii="仿宋_GB2312" w:hAnsi="仿宋_GB2312" w:eastAsia="仿宋_GB2312" w:cs="仿宋_GB2312"/>
                <w:color w:val="auto"/>
                <w:sz w:val="24"/>
              </w:rPr>
            </w:pPr>
          </w:p>
        </w:tc>
      </w:tr>
      <w:tr w14:paraId="7804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noWrap w:val="0"/>
            <w:vAlign w:val="center"/>
          </w:tcPr>
          <w:p w14:paraId="30217739">
            <w:pPr>
              <w:pStyle w:val="19"/>
              <w:spacing w:line="360" w:lineRule="auto"/>
              <w:ind w:firstLine="480"/>
              <w:jc w:val="center"/>
              <w:rPr>
                <w:rFonts w:ascii="仿宋_GB2312" w:hAnsi="仿宋_GB2312" w:eastAsia="仿宋_GB2312" w:cs="仿宋_GB2312"/>
                <w:color w:val="auto"/>
                <w:sz w:val="24"/>
              </w:rPr>
            </w:pPr>
          </w:p>
        </w:tc>
        <w:tc>
          <w:tcPr>
            <w:tcW w:w="1587" w:type="dxa"/>
            <w:noWrap w:val="0"/>
            <w:vAlign w:val="center"/>
          </w:tcPr>
          <w:p w14:paraId="0D38EEC6">
            <w:pPr>
              <w:pStyle w:val="19"/>
              <w:spacing w:line="360" w:lineRule="auto"/>
              <w:ind w:firstLine="0"/>
              <w:rPr>
                <w:rFonts w:ascii="仿宋_GB2312" w:hAnsi="仿宋_GB2312" w:eastAsia="仿宋_GB2312" w:cs="仿宋_GB2312"/>
                <w:color w:val="auto"/>
                <w:sz w:val="24"/>
              </w:rPr>
            </w:pPr>
          </w:p>
        </w:tc>
        <w:tc>
          <w:tcPr>
            <w:tcW w:w="950" w:type="dxa"/>
            <w:noWrap w:val="0"/>
            <w:vAlign w:val="center"/>
          </w:tcPr>
          <w:p w14:paraId="08E347FD">
            <w:pPr>
              <w:pStyle w:val="19"/>
              <w:spacing w:line="360" w:lineRule="auto"/>
              <w:ind w:firstLine="480"/>
              <w:jc w:val="center"/>
              <w:rPr>
                <w:rFonts w:ascii="仿宋_GB2312" w:hAnsi="仿宋_GB2312" w:eastAsia="仿宋_GB2312" w:cs="仿宋_GB2312"/>
                <w:color w:val="auto"/>
                <w:sz w:val="24"/>
              </w:rPr>
            </w:pPr>
          </w:p>
        </w:tc>
        <w:tc>
          <w:tcPr>
            <w:tcW w:w="863" w:type="dxa"/>
            <w:noWrap w:val="0"/>
            <w:vAlign w:val="center"/>
          </w:tcPr>
          <w:p w14:paraId="410D500B">
            <w:pPr>
              <w:pStyle w:val="19"/>
              <w:spacing w:line="360" w:lineRule="auto"/>
              <w:ind w:firstLine="480"/>
              <w:jc w:val="center"/>
              <w:rPr>
                <w:rFonts w:ascii="仿宋_GB2312" w:hAnsi="仿宋_GB2312" w:eastAsia="仿宋_GB2312" w:cs="仿宋_GB2312"/>
                <w:color w:val="auto"/>
                <w:sz w:val="24"/>
              </w:rPr>
            </w:pPr>
          </w:p>
        </w:tc>
        <w:tc>
          <w:tcPr>
            <w:tcW w:w="812" w:type="dxa"/>
            <w:noWrap w:val="0"/>
            <w:vAlign w:val="center"/>
          </w:tcPr>
          <w:p w14:paraId="7016BE32">
            <w:pPr>
              <w:pStyle w:val="19"/>
              <w:spacing w:line="360" w:lineRule="auto"/>
              <w:ind w:firstLine="480"/>
              <w:jc w:val="center"/>
              <w:rPr>
                <w:rFonts w:ascii="仿宋_GB2312" w:hAnsi="仿宋_GB2312" w:eastAsia="仿宋_GB2312" w:cs="仿宋_GB2312"/>
                <w:color w:val="auto"/>
                <w:sz w:val="24"/>
              </w:rPr>
            </w:pPr>
          </w:p>
        </w:tc>
        <w:tc>
          <w:tcPr>
            <w:tcW w:w="900" w:type="dxa"/>
            <w:noWrap w:val="0"/>
          </w:tcPr>
          <w:p w14:paraId="2909C51B">
            <w:pPr>
              <w:pStyle w:val="19"/>
              <w:spacing w:line="360" w:lineRule="auto"/>
              <w:ind w:firstLine="480"/>
              <w:jc w:val="center"/>
              <w:rPr>
                <w:rFonts w:ascii="仿宋_GB2312" w:hAnsi="仿宋_GB2312" w:eastAsia="仿宋_GB2312" w:cs="仿宋_GB2312"/>
                <w:color w:val="auto"/>
                <w:sz w:val="24"/>
              </w:rPr>
            </w:pPr>
          </w:p>
        </w:tc>
        <w:tc>
          <w:tcPr>
            <w:tcW w:w="913" w:type="dxa"/>
            <w:noWrap w:val="0"/>
          </w:tcPr>
          <w:p w14:paraId="4B04D51E">
            <w:pPr>
              <w:pStyle w:val="19"/>
              <w:spacing w:line="360" w:lineRule="auto"/>
              <w:ind w:firstLine="480"/>
              <w:jc w:val="center"/>
              <w:rPr>
                <w:rFonts w:ascii="仿宋_GB2312" w:hAnsi="仿宋_GB2312" w:eastAsia="仿宋_GB2312" w:cs="仿宋_GB2312"/>
                <w:color w:val="auto"/>
                <w:sz w:val="24"/>
              </w:rPr>
            </w:pPr>
          </w:p>
        </w:tc>
        <w:tc>
          <w:tcPr>
            <w:tcW w:w="1125" w:type="dxa"/>
            <w:noWrap w:val="0"/>
          </w:tcPr>
          <w:p w14:paraId="53BDD65F">
            <w:pPr>
              <w:pStyle w:val="19"/>
              <w:spacing w:line="360" w:lineRule="auto"/>
              <w:ind w:firstLine="480"/>
              <w:jc w:val="center"/>
              <w:rPr>
                <w:rFonts w:ascii="仿宋_GB2312" w:hAnsi="仿宋_GB2312" w:eastAsia="仿宋_GB2312" w:cs="仿宋_GB2312"/>
                <w:color w:val="auto"/>
                <w:sz w:val="24"/>
              </w:rPr>
            </w:pPr>
          </w:p>
        </w:tc>
      </w:tr>
      <w:tr w14:paraId="58DD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14:paraId="6CA3A0AA">
            <w:pPr>
              <w:pStyle w:val="19"/>
              <w:spacing w:line="360" w:lineRule="auto"/>
              <w:ind w:firstLine="480"/>
              <w:jc w:val="center"/>
              <w:rPr>
                <w:rFonts w:ascii="仿宋_GB2312" w:hAnsi="仿宋_GB2312" w:eastAsia="仿宋_GB2312" w:cs="仿宋_GB2312"/>
                <w:color w:val="auto"/>
                <w:sz w:val="24"/>
              </w:rPr>
            </w:pPr>
          </w:p>
        </w:tc>
        <w:tc>
          <w:tcPr>
            <w:tcW w:w="1587" w:type="dxa"/>
            <w:noWrap w:val="0"/>
            <w:vAlign w:val="center"/>
          </w:tcPr>
          <w:p w14:paraId="1AF65FFC">
            <w:pPr>
              <w:pStyle w:val="19"/>
              <w:spacing w:line="360" w:lineRule="auto"/>
              <w:ind w:firstLine="0"/>
              <w:rPr>
                <w:rFonts w:ascii="仿宋_GB2312" w:hAnsi="仿宋_GB2312" w:eastAsia="仿宋_GB2312" w:cs="仿宋_GB2312"/>
                <w:color w:val="auto"/>
                <w:sz w:val="24"/>
              </w:rPr>
            </w:pPr>
          </w:p>
        </w:tc>
        <w:tc>
          <w:tcPr>
            <w:tcW w:w="950" w:type="dxa"/>
            <w:noWrap w:val="0"/>
            <w:vAlign w:val="center"/>
          </w:tcPr>
          <w:p w14:paraId="11262A40">
            <w:pPr>
              <w:pStyle w:val="19"/>
              <w:spacing w:line="360" w:lineRule="auto"/>
              <w:ind w:firstLine="480"/>
              <w:jc w:val="center"/>
              <w:rPr>
                <w:rFonts w:ascii="仿宋_GB2312" w:hAnsi="仿宋_GB2312" w:eastAsia="仿宋_GB2312" w:cs="仿宋_GB2312"/>
                <w:color w:val="auto"/>
                <w:sz w:val="24"/>
              </w:rPr>
            </w:pPr>
          </w:p>
        </w:tc>
        <w:tc>
          <w:tcPr>
            <w:tcW w:w="863" w:type="dxa"/>
            <w:noWrap w:val="0"/>
            <w:vAlign w:val="center"/>
          </w:tcPr>
          <w:p w14:paraId="2EB7798F">
            <w:pPr>
              <w:pStyle w:val="19"/>
              <w:spacing w:line="360" w:lineRule="auto"/>
              <w:ind w:firstLine="480"/>
              <w:jc w:val="center"/>
              <w:rPr>
                <w:rFonts w:ascii="仿宋_GB2312" w:hAnsi="仿宋_GB2312" w:eastAsia="仿宋_GB2312" w:cs="仿宋_GB2312"/>
                <w:color w:val="auto"/>
                <w:sz w:val="24"/>
              </w:rPr>
            </w:pPr>
          </w:p>
        </w:tc>
        <w:tc>
          <w:tcPr>
            <w:tcW w:w="812" w:type="dxa"/>
            <w:noWrap w:val="0"/>
            <w:vAlign w:val="center"/>
          </w:tcPr>
          <w:p w14:paraId="69ED6829">
            <w:pPr>
              <w:pStyle w:val="19"/>
              <w:spacing w:line="360" w:lineRule="auto"/>
              <w:ind w:firstLine="480"/>
              <w:jc w:val="center"/>
              <w:rPr>
                <w:rFonts w:ascii="仿宋_GB2312" w:hAnsi="仿宋_GB2312" w:eastAsia="仿宋_GB2312" w:cs="仿宋_GB2312"/>
                <w:color w:val="auto"/>
                <w:sz w:val="24"/>
              </w:rPr>
            </w:pPr>
          </w:p>
        </w:tc>
        <w:tc>
          <w:tcPr>
            <w:tcW w:w="900" w:type="dxa"/>
            <w:noWrap w:val="0"/>
          </w:tcPr>
          <w:p w14:paraId="6E1EBF30">
            <w:pPr>
              <w:pStyle w:val="19"/>
              <w:spacing w:line="360" w:lineRule="auto"/>
              <w:ind w:firstLine="480"/>
              <w:jc w:val="center"/>
              <w:rPr>
                <w:rFonts w:ascii="仿宋_GB2312" w:hAnsi="仿宋_GB2312" w:eastAsia="仿宋_GB2312" w:cs="仿宋_GB2312"/>
                <w:color w:val="auto"/>
                <w:sz w:val="24"/>
              </w:rPr>
            </w:pPr>
          </w:p>
        </w:tc>
        <w:tc>
          <w:tcPr>
            <w:tcW w:w="913" w:type="dxa"/>
            <w:noWrap w:val="0"/>
          </w:tcPr>
          <w:p w14:paraId="73EF3298">
            <w:pPr>
              <w:pStyle w:val="19"/>
              <w:spacing w:line="360" w:lineRule="auto"/>
              <w:ind w:firstLine="480"/>
              <w:jc w:val="center"/>
              <w:rPr>
                <w:rFonts w:ascii="仿宋_GB2312" w:hAnsi="仿宋_GB2312" w:eastAsia="仿宋_GB2312" w:cs="仿宋_GB2312"/>
                <w:color w:val="auto"/>
                <w:sz w:val="24"/>
              </w:rPr>
            </w:pPr>
          </w:p>
        </w:tc>
        <w:tc>
          <w:tcPr>
            <w:tcW w:w="1125" w:type="dxa"/>
            <w:noWrap w:val="0"/>
          </w:tcPr>
          <w:p w14:paraId="596F0AA9">
            <w:pPr>
              <w:pStyle w:val="19"/>
              <w:spacing w:line="360" w:lineRule="auto"/>
              <w:ind w:firstLine="480"/>
              <w:jc w:val="center"/>
              <w:rPr>
                <w:rFonts w:ascii="仿宋_GB2312" w:hAnsi="仿宋_GB2312" w:eastAsia="仿宋_GB2312" w:cs="仿宋_GB2312"/>
                <w:color w:val="auto"/>
                <w:sz w:val="24"/>
              </w:rPr>
            </w:pPr>
          </w:p>
        </w:tc>
      </w:tr>
      <w:tr w14:paraId="72F7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14:paraId="399B11AA">
            <w:pPr>
              <w:pStyle w:val="19"/>
              <w:spacing w:line="360" w:lineRule="auto"/>
              <w:ind w:firstLine="480"/>
              <w:jc w:val="center"/>
              <w:rPr>
                <w:rFonts w:ascii="仿宋_GB2312" w:hAnsi="仿宋_GB2312" w:eastAsia="仿宋_GB2312" w:cs="仿宋_GB2312"/>
                <w:color w:val="auto"/>
                <w:sz w:val="24"/>
              </w:rPr>
            </w:pPr>
          </w:p>
        </w:tc>
        <w:tc>
          <w:tcPr>
            <w:tcW w:w="1587" w:type="dxa"/>
            <w:noWrap w:val="0"/>
            <w:vAlign w:val="center"/>
          </w:tcPr>
          <w:p w14:paraId="5150315B">
            <w:pPr>
              <w:pStyle w:val="19"/>
              <w:spacing w:line="360" w:lineRule="auto"/>
              <w:ind w:firstLine="0"/>
              <w:rPr>
                <w:rFonts w:ascii="仿宋_GB2312" w:hAnsi="仿宋_GB2312" w:eastAsia="仿宋_GB2312" w:cs="仿宋_GB2312"/>
                <w:color w:val="auto"/>
                <w:sz w:val="24"/>
              </w:rPr>
            </w:pPr>
          </w:p>
        </w:tc>
        <w:tc>
          <w:tcPr>
            <w:tcW w:w="950" w:type="dxa"/>
            <w:noWrap w:val="0"/>
            <w:vAlign w:val="center"/>
          </w:tcPr>
          <w:p w14:paraId="62755DF9">
            <w:pPr>
              <w:pStyle w:val="19"/>
              <w:spacing w:line="360" w:lineRule="auto"/>
              <w:ind w:firstLine="480"/>
              <w:jc w:val="center"/>
              <w:rPr>
                <w:rFonts w:ascii="仿宋_GB2312" w:hAnsi="仿宋_GB2312" w:eastAsia="仿宋_GB2312" w:cs="仿宋_GB2312"/>
                <w:color w:val="auto"/>
                <w:sz w:val="24"/>
              </w:rPr>
            </w:pPr>
          </w:p>
        </w:tc>
        <w:tc>
          <w:tcPr>
            <w:tcW w:w="863" w:type="dxa"/>
            <w:noWrap w:val="0"/>
            <w:vAlign w:val="center"/>
          </w:tcPr>
          <w:p w14:paraId="4C6E8502">
            <w:pPr>
              <w:pStyle w:val="19"/>
              <w:spacing w:line="360" w:lineRule="auto"/>
              <w:ind w:firstLine="480"/>
              <w:jc w:val="center"/>
              <w:rPr>
                <w:rFonts w:ascii="仿宋_GB2312" w:hAnsi="仿宋_GB2312" w:eastAsia="仿宋_GB2312" w:cs="仿宋_GB2312"/>
                <w:color w:val="auto"/>
                <w:sz w:val="24"/>
              </w:rPr>
            </w:pPr>
          </w:p>
        </w:tc>
        <w:tc>
          <w:tcPr>
            <w:tcW w:w="812" w:type="dxa"/>
            <w:noWrap w:val="0"/>
            <w:vAlign w:val="center"/>
          </w:tcPr>
          <w:p w14:paraId="15EBBB00">
            <w:pPr>
              <w:pStyle w:val="19"/>
              <w:spacing w:line="360" w:lineRule="auto"/>
              <w:ind w:firstLine="480"/>
              <w:jc w:val="center"/>
              <w:rPr>
                <w:rFonts w:ascii="仿宋_GB2312" w:hAnsi="仿宋_GB2312" w:eastAsia="仿宋_GB2312" w:cs="仿宋_GB2312"/>
                <w:color w:val="auto"/>
                <w:sz w:val="24"/>
              </w:rPr>
            </w:pPr>
          </w:p>
        </w:tc>
        <w:tc>
          <w:tcPr>
            <w:tcW w:w="900" w:type="dxa"/>
            <w:noWrap w:val="0"/>
          </w:tcPr>
          <w:p w14:paraId="5580BEB8">
            <w:pPr>
              <w:pStyle w:val="19"/>
              <w:spacing w:line="360" w:lineRule="auto"/>
              <w:ind w:firstLine="480"/>
              <w:jc w:val="center"/>
              <w:rPr>
                <w:rFonts w:ascii="仿宋_GB2312" w:hAnsi="仿宋_GB2312" w:eastAsia="仿宋_GB2312" w:cs="仿宋_GB2312"/>
                <w:color w:val="auto"/>
                <w:sz w:val="24"/>
              </w:rPr>
            </w:pPr>
          </w:p>
        </w:tc>
        <w:tc>
          <w:tcPr>
            <w:tcW w:w="913" w:type="dxa"/>
            <w:noWrap w:val="0"/>
          </w:tcPr>
          <w:p w14:paraId="4E5E24A5">
            <w:pPr>
              <w:pStyle w:val="19"/>
              <w:spacing w:line="360" w:lineRule="auto"/>
              <w:ind w:firstLine="480"/>
              <w:jc w:val="center"/>
              <w:rPr>
                <w:rFonts w:ascii="仿宋_GB2312" w:hAnsi="仿宋_GB2312" w:eastAsia="仿宋_GB2312" w:cs="仿宋_GB2312"/>
                <w:color w:val="auto"/>
                <w:sz w:val="24"/>
              </w:rPr>
            </w:pPr>
          </w:p>
        </w:tc>
        <w:tc>
          <w:tcPr>
            <w:tcW w:w="1125" w:type="dxa"/>
            <w:noWrap w:val="0"/>
          </w:tcPr>
          <w:p w14:paraId="6D098A97">
            <w:pPr>
              <w:pStyle w:val="19"/>
              <w:spacing w:line="360" w:lineRule="auto"/>
              <w:ind w:firstLine="480"/>
              <w:jc w:val="center"/>
              <w:rPr>
                <w:rFonts w:ascii="仿宋_GB2312" w:hAnsi="仿宋_GB2312" w:eastAsia="仿宋_GB2312" w:cs="仿宋_GB2312"/>
                <w:color w:val="auto"/>
                <w:sz w:val="24"/>
              </w:rPr>
            </w:pPr>
          </w:p>
        </w:tc>
      </w:tr>
      <w:tr w14:paraId="6520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noWrap w:val="0"/>
            <w:vAlign w:val="center"/>
          </w:tcPr>
          <w:p w14:paraId="6499639E">
            <w:pPr>
              <w:pStyle w:val="19"/>
              <w:spacing w:line="360" w:lineRule="auto"/>
              <w:ind w:firstLine="480"/>
              <w:jc w:val="center"/>
              <w:rPr>
                <w:rFonts w:ascii="仿宋_GB2312" w:hAnsi="仿宋_GB2312" w:eastAsia="仿宋_GB2312" w:cs="仿宋_GB2312"/>
                <w:color w:val="auto"/>
                <w:sz w:val="24"/>
              </w:rPr>
            </w:pPr>
          </w:p>
        </w:tc>
        <w:tc>
          <w:tcPr>
            <w:tcW w:w="1587" w:type="dxa"/>
            <w:noWrap w:val="0"/>
            <w:vAlign w:val="center"/>
          </w:tcPr>
          <w:p w14:paraId="5CD60396">
            <w:pPr>
              <w:pStyle w:val="19"/>
              <w:spacing w:line="360" w:lineRule="auto"/>
              <w:ind w:firstLine="480"/>
              <w:jc w:val="center"/>
              <w:rPr>
                <w:rFonts w:ascii="仿宋_GB2312" w:hAnsi="仿宋_GB2312" w:eastAsia="仿宋_GB2312" w:cs="仿宋_GB2312"/>
                <w:color w:val="auto"/>
                <w:sz w:val="24"/>
              </w:rPr>
            </w:pPr>
          </w:p>
        </w:tc>
        <w:tc>
          <w:tcPr>
            <w:tcW w:w="950" w:type="dxa"/>
            <w:noWrap w:val="0"/>
            <w:vAlign w:val="center"/>
          </w:tcPr>
          <w:p w14:paraId="5B1D722C">
            <w:pPr>
              <w:pStyle w:val="19"/>
              <w:spacing w:line="360" w:lineRule="auto"/>
              <w:ind w:firstLine="480"/>
              <w:jc w:val="center"/>
              <w:rPr>
                <w:rFonts w:ascii="仿宋_GB2312" w:hAnsi="仿宋_GB2312" w:eastAsia="仿宋_GB2312" w:cs="仿宋_GB2312"/>
                <w:color w:val="auto"/>
                <w:sz w:val="24"/>
              </w:rPr>
            </w:pPr>
          </w:p>
        </w:tc>
        <w:tc>
          <w:tcPr>
            <w:tcW w:w="863" w:type="dxa"/>
            <w:noWrap w:val="0"/>
            <w:vAlign w:val="center"/>
          </w:tcPr>
          <w:p w14:paraId="160C46CF">
            <w:pPr>
              <w:pStyle w:val="19"/>
              <w:spacing w:line="360" w:lineRule="auto"/>
              <w:ind w:firstLine="480"/>
              <w:jc w:val="center"/>
              <w:rPr>
                <w:rFonts w:ascii="仿宋_GB2312" w:hAnsi="仿宋_GB2312" w:eastAsia="仿宋_GB2312" w:cs="仿宋_GB2312"/>
                <w:color w:val="auto"/>
                <w:sz w:val="24"/>
              </w:rPr>
            </w:pPr>
          </w:p>
        </w:tc>
        <w:tc>
          <w:tcPr>
            <w:tcW w:w="812" w:type="dxa"/>
            <w:noWrap w:val="0"/>
            <w:vAlign w:val="center"/>
          </w:tcPr>
          <w:p w14:paraId="0A8B71F2">
            <w:pPr>
              <w:pStyle w:val="19"/>
              <w:spacing w:line="360" w:lineRule="auto"/>
              <w:ind w:firstLine="480"/>
              <w:jc w:val="center"/>
              <w:rPr>
                <w:rFonts w:ascii="仿宋_GB2312" w:hAnsi="仿宋_GB2312" w:eastAsia="仿宋_GB2312" w:cs="仿宋_GB2312"/>
                <w:color w:val="auto"/>
                <w:sz w:val="24"/>
              </w:rPr>
            </w:pPr>
          </w:p>
        </w:tc>
        <w:tc>
          <w:tcPr>
            <w:tcW w:w="900" w:type="dxa"/>
            <w:noWrap w:val="0"/>
          </w:tcPr>
          <w:p w14:paraId="62856A5A">
            <w:pPr>
              <w:pStyle w:val="19"/>
              <w:spacing w:line="360" w:lineRule="auto"/>
              <w:ind w:firstLine="480"/>
              <w:jc w:val="center"/>
              <w:rPr>
                <w:rFonts w:ascii="仿宋_GB2312" w:hAnsi="仿宋_GB2312" w:eastAsia="仿宋_GB2312" w:cs="仿宋_GB2312"/>
                <w:color w:val="auto"/>
                <w:sz w:val="24"/>
              </w:rPr>
            </w:pPr>
          </w:p>
        </w:tc>
        <w:tc>
          <w:tcPr>
            <w:tcW w:w="913" w:type="dxa"/>
            <w:noWrap w:val="0"/>
          </w:tcPr>
          <w:p w14:paraId="2AA60133">
            <w:pPr>
              <w:pStyle w:val="19"/>
              <w:spacing w:line="360" w:lineRule="auto"/>
              <w:ind w:firstLine="480"/>
              <w:jc w:val="center"/>
              <w:rPr>
                <w:rFonts w:ascii="仿宋_GB2312" w:hAnsi="仿宋_GB2312" w:eastAsia="仿宋_GB2312" w:cs="仿宋_GB2312"/>
                <w:color w:val="auto"/>
                <w:sz w:val="24"/>
              </w:rPr>
            </w:pPr>
          </w:p>
        </w:tc>
        <w:tc>
          <w:tcPr>
            <w:tcW w:w="1125" w:type="dxa"/>
            <w:noWrap w:val="0"/>
          </w:tcPr>
          <w:p w14:paraId="7457AE1A">
            <w:pPr>
              <w:pStyle w:val="19"/>
              <w:spacing w:line="360" w:lineRule="auto"/>
              <w:ind w:firstLine="480"/>
              <w:jc w:val="center"/>
              <w:rPr>
                <w:rFonts w:ascii="仿宋_GB2312" w:hAnsi="仿宋_GB2312" w:eastAsia="仿宋_GB2312" w:cs="仿宋_GB2312"/>
                <w:color w:val="auto"/>
                <w:sz w:val="24"/>
              </w:rPr>
            </w:pPr>
          </w:p>
        </w:tc>
      </w:tr>
    </w:tbl>
    <w:p w14:paraId="55AC318B">
      <w:pPr>
        <w:spacing w:line="360" w:lineRule="auto"/>
        <w:rPr>
          <w:rFonts w:ascii="仿宋" w:hAnsi="仿宋" w:eastAsia="仿宋"/>
          <w:color w:val="auto"/>
          <w:sz w:val="28"/>
        </w:rPr>
      </w:pPr>
      <w:r>
        <w:rPr>
          <w:rFonts w:hint="eastAsia" w:ascii="仿宋_GB2312" w:hAnsi="仿宋_GB2312" w:eastAsia="仿宋_GB2312" w:cs="仿宋_GB2312"/>
          <w:bCs/>
          <w:color w:val="auto"/>
          <w:sz w:val="28"/>
          <w:szCs w:val="28"/>
          <w:u w:val="single"/>
        </w:rPr>
        <w:t>注：车辆配备必须完全具备或超越</w:t>
      </w:r>
      <w:r>
        <w:rPr>
          <w:rFonts w:hint="eastAsia" w:ascii="仿宋_GB2312" w:hAnsi="仿宋_GB2312" w:eastAsia="仿宋_GB2312" w:cs="仿宋_GB2312"/>
          <w:bCs/>
          <w:color w:val="auto"/>
          <w:sz w:val="28"/>
          <w:szCs w:val="28"/>
          <w:u w:val="single"/>
          <w:lang w:eastAsia="zh-CN"/>
        </w:rPr>
        <w:t>采购人</w:t>
      </w:r>
      <w:r>
        <w:rPr>
          <w:rFonts w:hint="eastAsia" w:ascii="仿宋_GB2312" w:hAnsi="仿宋_GB2312" w:eastAsia="仿宋_GB2312" w:cs="仿宋_GB2312"/>
          <w:bCs/>
          <w:color w:val="auto"/>
          <w:sz w:val="28"/>
          <w:szCs w:val="28"/>
          <w:u w:val="single"/>
        </w:rPr>
        <w:t>需求，</w:t>
      </w:r>
      <w:r>
        <w:rPr>
          <w:rFonts w:hint="eastAsia" w:ascii="仿宋_GB2312" w:hAnsi="仿宋_GB2312" w:eastAsia="仿宋_GB2312" w:cs="仿宋_GB2312"/>
          <w:bCs/>
          <w:color w:val="auto"/>
          <w:sz w:val="28"/>
          <w:szCs w:val="28"/>
          <w:u w:val="single"/>
          <w:lang w:eastAsia="zh-CN"/>
        </w:rPr>
        <w:t>供应商</w:t>
      </w:r>
      <w:r>
        <w:rPr>
          <w:rFonts w:hint="eastAsia" w:ascii="仿宋_GB2312" w:hAnsi="仿宋_GB2312" w:eastAsia="仿宋_GB2312" w:cs="仿宋_GB2312"/>
          <w:bCs/>
          <w:color w:val="auto"/>
          <w:sz w:val="28"/>
          <w:szCs w:val="28"/>
          <w:u w:val="single"/>
        </w:rPr>
        <w:t>必须承诺中标后，</w:t>
      </w:r>
      <w:r>
        <w:rPr>
          <w:rFonts w:hint="eastAsia" w:ascii="仿宋_GB2312" w:hAnsi="仿宋_GB2312" w:eastAsia="仿宋_GB2312" w:cs="仿宋_GB2312"/>
          <w:bCs/>
          <w:color w:val="auto"/>
          <w:sz w:val="28"/>
          <w:szCs w:val="28"/>
          <w:u w:val="single"/>
          <w:lang w:eastAsia="zh-CN"/>
        </w:rPr>
        <w:t>响应文件</w:t>
      </w:r>
      <w:r>
        <w:rPr>
          <w:rFonts w:hint="eastAsia" w:ascii="仿宋_GB2312" w:hAnsi="仿宋_GB2312" w:eastAsia="仿宋_GB2312" w:cs="仿宋_GB2312"/>
          <w:bCs/>
          <w:color w:val="auto"/>
          <w:sz w:val="28"/>
          <w:szCs w:val="28"/>
          <w:u w:val="single"/>
        </w:rPr>
        <w:t>中所提供的车辆全部服务于该中标项目，未经</w:t>
      </w:r>
      <w:r>
        <w:rPr>
          <w:rFonts w:hint="eastAsia" w:ascii="仿宋_GB2312" w:hAnsi="仿宋_GB2312" w:eastAsia="仿宋_GB2312" w:cs="仿宋_GB2312"/>
          <w:bCs/>
          <w:color w:val="auto"/>
          <w:sz w:val="28"/>
          <w:szCs w:val="28"/>
          <w:u w:val="single"/>
          <w:lang w:eastAsia="zh-CN"/>
        </w:rPr>
        <w:t>采购人</w:t>
      </w:r>
      <w:r>
        <w:rPr>
          <w:rFonts w:hint="eastAsia" w:ascii="仿宋_GB2312" w:hAnsi="仿宋_GB2312" w:eastAsia="仿宋_GB2312" w:cs="仿宋_GB2312"/>
          <w:bCs/>
          <w:color w:val="auto"/>
          <w:sz w:val="28"/>
          <w:szCs w:val="28"/>
          <w:u w:val="single"/>
        </w:rPr>
        <w:t>许可，不得擅自更改作业区域或用其他车辆替代。如有暂缺的必须在</w:t>
      </w:r>
      <w:r>
        <w:rPr>
          <w:rFonts w:hint="eastAsia" w:ascii="仿宋_GB2312" w:hAnsi="仿宋_GB2312" w:eastAsia="仿宋_GB2312" w:cs="仿宋_GB2312"/>
          <w:bCs/>
          <w:color w:val="auto"/>
          <w:sz w:val="28"/>
          <w:szCs w:val="28"/>
          <w:u w:val="single"/>
          <w:lang w:eastAsia="zh-CN"/>
        </w:rPr>
        <w:t>响应文件</w:t>
      </w:r>
      <w:r>
        <w:rPr>
          <w:rFonts w:hint="eastAsia" w:ascii="仿宋_GB2312" w:hAnsi="仿宋_GB2312" w:eastAsia="仿宋_GB2312" w:cs="仿宋_GB2312"/>
          <w:bCs/>
          <w:color w:val="auto"/>
          <w:sz w:val="28"/>
          <w:szCs w:val="28"/>
          <w:u w:val="single"/>
        </w:rPr>
        <w:t>中提供在本项目进场前完成本项目所需作业车辆配备完整的承诺</w:t>
      </w:r>
      <w:r>
        <w:rPr>
          <w:rFonts w:hint="eastAsia" w:ascii="仿宋_GB2312" w:hAnsi="仿宋_GB2312" w:eastAsia="仿宋_GB2312" w:cs="仿宋_GB2312"/>
          <w:bCs/>
          <w:color w:val="auto"/>
          <w:sz w:val="28"/>
          <w:szCs w:val="28"/>
        </w:rPr>
        <w:t>（承诺函自拟，函中须表明具体车辆的名称、数量、新旧程度）。</w:t>
      </w:r>
    </w:p>
    <w:p w14:paraId="06FE1BEE">
      <w:pPr>
        <w:pStyle w:val="6"/>
        <w:spacing w:line="360" w:lineRule="auto"/>
        <w:rPr>
          <w:rFonts w:ascii="仿宋" w:hAnsi="仿宋" w:eastAsia="仿宋"/>
          <w:color w:val="auto"/>
        </w:rPr>
      </w:pPr>
    </w:p>
    <w:p w14:paraId="4DECE4E4">
      <w:pPr>
        <w:pStyle w:val="6"/>
        <w:spacing w:line="360" w:lineRule="auto"/>
        <w:rPr>
          <w:rFonts w:ascii="仿宋" w:hAnsi="仿宋" w:eastAsia="仿宋"/>
          <w:color w:val="auto"/>
        </w:rPr>
      </w:pPr>
    </w:p>
    <w:p w14:paraId="57F28028">
      <w:pPr>
        <w:pStyle w:val="3"/>
        <w:spacing w:line="480" w:lineRule="exact"/>
        <w:jc w:val="center"/>
        <w:outlineLvl w:val="1"/>
        <w:rPr>
          <w:rFonts w:ascii="仿宋" w:hAnsi="仿宋" w:eastAsia="仿宋"/>
          <w:b/>
          <w:bCs/>
          <w:color w:val="auto"/>
          <w:sz w:val="36"/>
          <w:szCs w:val="36"/>
        </w:rPr>
      </w:pPr>
    </w:p>
    <w:p w14:paraId="03488678">
      <w:pPr>
        <w:pStyle w:val="4"/>
        <w:rPr>
          <w:rFonts w:ascii="仿宋" w:hAnsi="仿宋" w:eastAsia="仿宋"/>
          <w:color w:val="auto"/>
          <w:sz w:val="36"/>
          <w:szCs w:val="36"/>
        </w:rPr>
      </w:pPr>
    </w:p>
    <w:p w14:paraId="1F06959E">
      <w:pPr>
        <w:pStyle w:val="3"/>
        <w:rPr>
          <w:rFonts w:ascii="仿宋" w:hAnsi="仿宋" w:eastAsia="仿宋"/>
          <w:b/>
          <w:bCs/>
          <w:color w:val="auto"/>
          <w:sz w:val="36"/>
          <w:szCs w:val="36"/>
        </w:rPr>
      </w:pPr>
    </w:p>
    <w:p w14:paraId="37A55B08">
      <w:pPr>
        <w:pStyle w:val="3"/>
        <w:spacing w:line="360" w:lineRule="auto"/>
        <w:jc w:val="center"/>
        <w:outlineLvl w:val="1"/>
        <w:rPr>
          <w:rFonts w:ascii="仿宋" w:hAnsi="仿宋" w:eastAsia="仿宋"/>
          <w:b/>
          <w:bCs/>
          <w:color w:val="auto"/>
          <w:sz w:val="36"/>
          <w:szCs w:val="36"/>
        </w:rPr>
      </w:pPr>
    </w:p>
    <w:p w14:paraId="76BAEBB5">
      <w:pPr>
        <w:pStyle w:val="3"/>
        <w:spacing w:line="360" w:lineRule="auto"/>
        <w:jc w:val="center"/>
        <w:outlineLvl w:val="1"/>
        <w:rPr>
          <w:rFonts w:ascii="仿宋" w:hAnsi="仿宋" w:eastAsia="仿宋"/>
          <w:b/>
          <w:bCs/>
          <w:color w:val="auto"/>
          <w:sz w:val="36"/>
          <w:szCs w:val="36"/>
        </w:rPr>
      </w:pPr>
    </w:p>
    <w:p w14:paraId="1F3230C0">
      <w:pPr>
        <w:pStyle w:val="3"/>
        <w:spacing w:line="360" w:lineRule="auto"/>
        <w:jc w:val="center"/>
        <w:outlineLvl w:val="1"/>
        <w:rPr>
          <w:rFonts w:ascii="仿宋" w:hAnsi="仿宋" w:eastAsia="仿宋"/>
          <w:b/>
          <w:bCs/>
          <w:color w:val="auto"/>
          <w:sz w:val="36"/>
          <w:szCs w:val="36"/>
        </w:rPr>
      </w:pPr>
    </w:p>
    <w:p w14:paraId="799DDF70">
      <w:pPr>
        <w:spacing w:line="440" w:lineRule="exact"/>
        <w:jc w:val="center"/>
        <w:rPr>
          <w:rFonts w:hint="eastAsia" w:ascii="黑体" w:hAnsi="黑体" w:eastAsia="黑体"/>
          <w:b/>
          <w:sz w:val="24"/>
          <w:szCs w:val="24"/>
        </w:rPr>
      </w:pPr>
    </w:p>
    <w:p w14:paraId="5699BF06">
      <w:pPr>
        <w:spacing w:line="440" w:lineRule="exact"/>
        <w:jc w:val="center"/>
        <w:rPr>
          <w:rFonts w:hint="eastAsia" w:ascii="黑体" w:hAnsi="黑体" w:eastAsia="黑体"/>
          <w:b/>
          <w:sz w:val="32"/>
          <w:szCs w:val="32"/>
          <w:lang w:val="en-US" w:eastAsia="zh-CN"/>
        </w:rPr>
      </w:pPr>
      <w:r>
        <w:rPr>
          <w:rFonts w:hint="eastAsia" w:ascii="宋体" w:hAnsi="宋体" w:cs="仿宋"/>
          <w:b/>
          <w:bCs/>
          <w:sz w:val="24"/>
          <w:szCs w:val="24"/>
        </w:rPr>
        <w:br w:type="page"/>
      </w:r>
      <w:r>
        <w:rPr>
          <w:rFonts w:hint="eastAsia" w:ascii="黑体" w:hAnsi="黑体" w:eastAsia="黑体"/>
          <w:b/>
          <w:sz w:val="32"/>
          <w:szCs w:val="32"/>
          <w:lang w:val="en-US" w:eastAsia="zh-CN"/>
        </w:rPr>
        <w:t>十九、磋商响应单位相关信息一览表</w:t>
      </w: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248"/>
        <w:gridCol w:w="1390"/>
        <w:gridCol w:w="371"/>
        <w:gridCol w:w="349"/>
        <w:gridCol w:w="708"/>
        <w:gridCol w:w="995"/>
        <w:gridCol w:w="261"/>
        <w:gridCol w:w="857"/>
        <w:gridCol w:w="1294"/>
      </w:tblGrid>
      <w:tr w14:paraId="0E79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2" w:type="pct"/>
            <w:shd w:val="clear" w:color="auto" w:fill="D9D9D9"/>
            <w:noWrap w:val="0"/>
            <w:vAlign w:val="center"/>
          </w:tcPr>
          <w:p w14:paraId="54230449">
            <w:pPr>
              <w:pStyle w:val="360"/>
              <w:spacing w:line="440" w:lineRule="exact"/>
              <w:jc w:val="center"/>
              <w:rPr>
                <w:rFonts w:ascii="宋体" w:hAnsi="宋体"/>
                <w:b/>
                <w:color w:val="000000"/>
                <w:sz w:val="24"/>
                <w:szCs w:val="24"/>
              </w:rPr>
            </w:pPr>
            <w:r>
              <w:rPr>
                <w:rFonts w:hint="eastAsia" w:ascii="宋体" w:hAnsi="宋体"/>
                <w:b/>
                <w:color w:val="000000"/>
                <w:sz w:val="24"/>
                <w:szCs w:val="24"/>
              </w:rPr>
              <w:t>一</w:t>
            </w:r>
          </w:p>
        </w:tc>
        <w:tc>
          <w:tcPr>
            <w:tcW w:w="4387" w:type="pct"/>
            <w:gridSpan w:val="9"/>
            <w:shd w:val="clear" w:color="auto" w:fill="D9D9D9"/>
            <w:noWrap w:val="0"/>
            <w:vAlign w:val="center"/>
          </w:tcPr>
          <w:p w14:paraId="6688CBFB">
            <w:pPr>
              <w:pStyle w:val="360"/>
              <w:spacing w:line="440" w:lineRule="exact"/>
              <w:jc w:val="center"/>
              <w:rPr>
                <w:rFonts w:ascii="宋体" w:hAnsi="宋体"/>
                <w:b/>
                <w:color w:val="000000"/>
                <w:sz w:val="24"/>
                <w:szCs w:val="24"/>
              </w:rPr>
            </w:pPr>
            <w:r>
              <w:rPr>
                <w:rFonts w:hint="eastAsia" w:ascii="宋体" w:hAnsi="宋体"/>
                <w:b/>
                <w:color w:val="000000"/>
                <w:sz w:val="24"/>
                <w:szCs w:val="24"/>
              </w:rPr>
              <w:t>公司基本信息</w:t>
            </w:r>
          </w:p>
        </w:tc>
      </w:tr>
      <w:tr w14:paraId="4D79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2" w:type="pct"/>
            <w:noWrap w:val="0"/>
            <w:vAlign w:val="center"/>
          </w:tcPr>
          <w:p w14:paraId="66673FC2">
            <w:pPr>
              <w:pStyle w:val="360"/>
              <w:spacing w:line="440" w:lineRule="exact"/>
              <w:jc w:val="center"/>
              <w:rPr>
                <w:rFonts w:ascii="宋体" w:hAnsi="宋体"/>
                <w:color w:val="000000"/>
                <w:sz w:val="24"/>
                <w:szCs w:val="24"/>
              </w:rPr>
            </w:pPr>
            <w:r>
              <w:rPr>
                <w:rFonts w:hint="eastAsia" w:ascii="宋体" w:hAnsi="宋体"/>
                <w:color w:val="000000"/>
                <w:sz w:val="24"/>
                <w:szCs w:val="24"/>
              </w:rPr>
              <w:t>1</w:t>
            </w:r>
          </w:p>
        </w:tc>
        <w:tc>
          <w:tcPr>
            <w:tcW w:w="733" w:type="pct"/>
            <w:noWrap w:val="0"/>
            <w:vAlign w:val="center"/>
          </w:tcPr>
          <w:p w14:paraId="3E9732B4">
            <w:pPr>
              <w:pStyle w:val="360"/>
              <w:spacing w:line="440" w:lineRule="exact"/>
              <w:rPr>
                <w:rFonts w:ascii="宋体" w:hAnsi="宋体"/>
                <w:color w:val="000000"/>
                <w:sz w:val="24"/>
                <w:szCs w:val="24"/>
              </w:rPr>
            </w:pPr>
            <w:r>
              <w:rPr>
                <w:rFonts w:hint="eastAsia" w:ascii="宋体" w:hAnsi="宋体"/>
                <w:color w:val="000000"/>
                <w:sz w:val="24"/>
                <w:szCs w:val="24"/>
              </w:rPr>
              <w:t>公司名称</w:t>
            </w:r>
          </w:p>
        </w:tc>
        <w:tc>
          <w:tcPr>
            <w:tcW w:w="3653" w:type="pct"/>
            <w:gridSpan w:val="8"/>
            <w:noWrap w:val="0"/>
            <w:vAlign w:val="center"/>
          </w:tcPr>
          <w:p w14:paraId="76A46F52">
            <w:pPr>
              <w:pStyle w:val="360"/>
              <w:spacing w:line="440" w:lineRule="exact"/>
              <w:jc w:val="center"/>
              <w:rPr>
                <w:rFonts w:ascii="宋体" w:hAnsi="宋体"/>
                <w:color w:val="000000"/>
                <w:sz w:val="24"/>
                <w:szCs w:val="24"/>
              </w:rPr>
            </w:pPr>
          </w:p>
        </w:tc>
      </w:tr>
      <w:tr w14:paraId="540A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2" w:type="pct"/>
            <w:noWrap w:val="0"/>
            <w:vAlign w:val="center"/>
          </w:tcPr>
          <w:p w14:paraId="1BC91195">
            <w:pPr>
              <w:pStyle w:val="360"/>
              <w:spacing w:line="440" w:lineRule="exact"/>
              <w:jc w:val="center"/>
              <w:rPr>
                <w:rFonts w:ascii="宋体" w:hAnsi="宋体"/>
                <w:color w:val="000000"/>
                <w:sz w:val="24"/>
                <w:szCs w:val="24"/>
              </w:rPr>
            </w:pPr>
            <w:r>
              <w:rPr>
                <w:rFonts w:hint="eastAsia" w:ascii="宋体" w:hAnsi="宋体"/>
                <w:color w:val="000000"/>
                <w:sz w:val="24"/>
                <w:szCs w:val="24"/>
              </w:rPr>
              <w:t>2</w:t>
            </w:r>
          </w:p>
        </w:tc>
        <w:tc>
          <w:tcPr>
            <w:tcW w:w="733" w:type="pct"/>
            <w:noWrap w:val="0"/>
            <w:vAlign w:val="center"/>
          </w:tcPr>
          <w:p w14:paraId="680F41FC">
            <w:pPr>
              <w:pStyle w:val="360"/>
              <w:spacing w:line="440" w:lineRule="exact"/>
              <w:jc w:val="center"/>
              <w:rPr>
                <w:rFonts w:ascii="宋体" w:hAnsi="宋体"/>
                <w:color w:val="000000"/>
                <w:sz w:val="24"/>
                <w:szCs w:val="24"/>
              </w:rPr>
            </w:pPr>
            <w:r>
              <w:rPr>
                <w:rFonts w:hint="eastAsia" w:ascii="宋体" w:hAnsi="宋体"/>
                <w:color w:val="000000"/>
                <w:sz w:val="24"/>
                <w:szCs w:val="24"/>
              </w:rPr>
              <w:t>注册资金</w:t>
            </w:r>
          </w:p>
        </w:tc>
        <w:tc>
          <w:tcPr>
            <w:tcW w:w="816" w:type="pct"/>
            <w:noWrap w:val="0"/>
            <w:vAlign w:val="center"/>
          </w:tcPr>
          <w:p w14:paraId="23BE2E72">
            <w:pPr>
              <w:pStyle w:val="360"/>
              <w:spacing w:line="440" w:lineRule="exact"/>
              <w:jc w:val="center"/>
              <w:rPr>
                <w:rFonts w:ascii="宋体" w:hAnsi="宋体"/>
                <w:color w:val="000000"/>
                <w:sz w:val="24"/>
                <w:szCs w:val="24"/>
              </w:rPr>
            </w:pPr>
          </w:p>
        </w:tc>
        <w:tc>
          <w:tcPr>
            <w:tcW w:w="423" w:type="pct"/>
            <w:gridSpan w:val="2"/>
            <w:noWrap w:val="0"/>
            <w:vAlign w:val="center"/>
          </w:tcPr>
          <w:p w14:paraId="220D54D4">
            <w:pPr>
              <w:pStyle w:val="360"/>
              <w:spacing w:line="440" w:lineRule="exact"/>
              <w:jc w:val="center"/>
              <w:rPr>
                <w:rFonts w:ascii="宋体" w:hAnsi="宋体"/>
                <w:color w:val="000000"/>
                <w:sz w:val="24"/>
                <w:szCs w:val="24"/>
              </w:rPr>
            </w:pPr>
            <w:r>
              <w:rPr>
                <w:rFonts w:hint="eastAsia" w:ascii="宋体" w:hAnsi="宋体"/>
                <w:color w:val="000000"/>
                <w:sz w:val="24"/>
                <w:szCs w:val="24"/>
              </w:rPr>
              <w:t>3</w:t>
            </w:r>
          </w:p>
        </w:tc>
        <w:tc>
          <w:tcPr>
            <w:tcW w:w="1153" w:type="pct"/>
            <w:gridSpan w:val="3"/>
            <w:noWrap w:val="0"/>
            <w:vAlign w:val="center"/>
          </w:tcPr>
          <w:p w14:paraId="49C04287">
            <w:pPr>
              <w:pStyle w:val="360"/>
              <w:spacing w:line="440" w:lineRule="exact"/>
              <w:jc w:val="center"/>
              <w:rPr>
                <w:rFonts w:ascii="宋体" w:hAnsi="宋体"/>
                <w:color w:val="000000"/>
                <w:sz w:val="24"/>
                <w:szCs w:val="24"/>
              </w:rPr>
            </w:pPr>
            <w:r>
              <w:rPr>
                <w:rFonts w:hint="eastAsia" w:ascii="宋体" w:hAnsi="宋体"/>
                <w:color w:val="000000"/>
                <w:sz w:val="24"/>
                <w:szCs w:val="24"/>
              </w:rPr>
              <w:t>公司地址</w:t>
            </w:r>
          </w:p>
        </w:tc>
        <w:tc>
          <w:tcPr>
            <w:tcW w:w="1259" w:type="pct"/>
            <w:gridSpan w:val="2"/>
            <w:noWrap w:val="0"/>
            <w:vAlign w:val="center"/>
          </w:tcPr>
          <w:p w14:paraId="76D74D0E">
            <w:pPr>
              <w:pStyle w:val="360"/>
              <w:spacing w:line="440" w:lineRule="exact"/>
              <w:jc w:val="center"/>
              <w:rPr>
                <w:rFonts w:ascii="宋体" w:hAnsi="宋体"/>
                <w:color w:val="000000"/>
                <w:sz w:val="24"/>
                <w:szCs w:val="24"/>
              </w:rPr>
            </w:pPr>
          </w:p>
        </w:tc>
      </w:tr>
      <w:tr w14:paraId="079B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12" w:type="pct"/>
            <w:noWrap w:val="0"/>
            <w:vAlign w:val="center"/>
          </w:tcPr>
          <w:p w14:paraId="6B720340">
            <w:pPr>
              <w:pStyle w:val="360"/>
              <w:spacing w:line="440" w:lineRule="exact"/>
              <w:jc w:val="center"/>
              <w:rPr>
                <w:rFonts w:ascii="宋体" w:hAnsi="宋体"/>
                <w:color w:val="000000"/>
                <w:sz w:val="24"/>
                <w:szCs w:val="24"/>
              </w:rPr>
            </w:pPr>
            <w:r>
              <w:rPr>
                <w:rFonts w:hint="eastAsia" w:ascii="宋体" w:hAnsi="宋体"/>
                <w:color w:val="000000"/>
                <w:sz w:val="24"/>
                <w:szCs w:val="24"/>
              </w:rPr>
              <w:t>4</w:t>
            </w:r>
          </w:p>
        </w:tc>
        <w:tc>
          <w:tcPr>
            <w:tcW w:w="733" w:type="pct"/>
            <w:noWrap w:val="0"/>
            <w:vAlign w:val="center"/>
          </w:tcPr>
          <w:p w14:paraId="540FD2B6">
            <w:pPr>
              <w:pStyle w:val="360"/>
              <w:spacing w:line="440" w:lineRule="exact"/>
              <w:jc w:val="center"/>
              <w:rPr>
                <w:rFonts w:ascii="宋体" w:hAnsi="宋体"/>
                <w:color w:val="000000"/>
                <w:sz w:val="24"/>
                <w:szCs w:val="24"/>
              </w:rPr>
            </w:pPr>
            <w:r>
              <w:rPr>
                <w:rFonts w:hint="eastAsia" w:ascii="宋体" w:hAnsi="宋体"/>
                <w:color w:val="000000"/>
                <w:sz w:val="24"/>
                <w:szCs w:val="24"/>
              </w:rPr>
              <w:t>从业人数</w:t>
            </w:r>
          </w:p>
        </w:tc>
        <w:tc>
          <w:tcPr>
            <w:tcW w:w="816" w:type="pct"/>
            <w:noWrap w:val="0"/>
            <w:vAlign w:val="center"/>
          </w:tcPr>
          <w:p w14:paraId="58057A4D">
            <w:pPr>
              <w:pStyle w:val="360"/>
              <w:spacing w:line="440" w:lineRule="exact"/>
              <w:jc w:val="center"/>
              <w:rPr>
                <w:rFonts w:ascii="宋体" w:hAnsi="宋体"/>
                <w:color w:val="000000"/>
                <w:sz w:val="24"/>
                <w:szCs w:val="24"/>
              </w:rPr>
            </w:pPr>
          </w:p>
        </w:tc>
        <w:tc>
          <w:tcPr>
            <w:tcW w:w="423" w:type="pct"/>
            <w:gridSpan w:val="2"/>
            <w:noWrap w:val="0"/>
            <w:vAlign w:val="center"/>
          </w:tcPr>
          <w:p w14:paraId="11DD43BF">
            <w:pPr>
              <w:pStyle w:val="360"/>
              <w:spacing w:line="440" w:lineRule="exact"/>
              <w:jc w:val="center"/>
              <w:rPr>
                <w:rFonts w:ascii="宋体" w:hAnsi="宋体"/>
                <w:color w:val="000000"/>
                <w:sz w:val="24"/>
                <w:szCs w:val="24"/>
              </w:rPr>
            </w:pPr>
            <w:r>
              <w:rPr>
                <w:rFonts w:hint="eastAsia" w:ascii="宋体" w:hAnsi="宋体"/>
                <w:color w:val="000000"/>
                <w:sz w:val="24"/>
                <w:szCs w:val="24"/>
              </w:rPr>
              <w:t>5</w:t>
            </w:r>
          </w:p>
        </w:tc>
        <w:tc>
          <w:tcPr>
            <w:tcW w:w="1153" w:type="pct"/>
            <w:gridSpan w:val="3"/>
            <w:noWrap w:val="0"/>
            <w:vAlign w:val="center"/>
          </w:tcPr>
          <w:p w14:paraId="5D199A06">
            <w:pPr>
              <w:pStyle w:val="360"/>
              <w:spacing w:line="440" w:lineRule="exact"/>
              <w:jc w:val="center"/>
              <w:rPr>
                <w:rFonts w:ascii="宋体" w:hAnsi="宋体"/>
                <w:color w:val="000000"/>
                <w:sz w:val="24"/>
                <w:szCs w:val="24"/>
              </w:rPr>
            </w:pPr>
            <w:r>
              <w:rPr>
                <w:rFonts w:hint="eastAsia" w:ascii="宋体" w:hAnsi="宋体"/>
                <w:color w:val="000000"/>
                <w:sz w:val="24"/>
                <w:szCs w:val="24"/>
              </w:rPr>
              <w:t>法定代表人</w:t>
            </w:r>
          </w:p>
        </w:tc>
        <w:tc>
          <w:tcPr>
            <w:tcW w:w="1259" w:type="pct"/>
            <w:gridSpan w:val="2"/>
            <w:noWrap w:val="0"/>
            <w:vAlign w:val="center"/>
          </w:tcPr>
          <w:p w14:paraId="04BBAB78">
            <w:pPr>
              <w:pStyle w:val="360"/>
              <w:spacing w:line="440" w:lineRule="exact"/>
              <w:jc w:val="center"/>
              <w:rPr>
                <w:rFonts w:ascii="宋体" w:hAnsi="宋体"/>
                <w:color w:val="000000"/>
                <w:sz w:val="24"/>
                <w:szCs w:val="24"/>
              </w:rPr>
            </w:pPr>
          </w:p>
        </w:tc>
      </w:tr>
      <w:tr w14:paraId="4B5C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12" w:type="pct"/>
            <w:noWrap w:val="0"/>
            <w:vAlign w:val="center"/>
          </w:tcPr>
          <w:p w14:paraId="0045CCE9">
            <w:pPr>
              <w:pStyle w:val="360"/>
              <w:spacing w:line="440" w:lineRule="exact"/>
              <w:jc w:val="center"/>
              <w:rPr>
                <w:rFonts w:ascii="宋体" w:hAnsi="宋体"/>
                <w:color w:val="000000"/>
                <w:sz w:val="24"/>
                <w:szCs w:val="24"/>
              </w:rPr>
            </w:pPr>
            <w:r>
              <w:rPr>
                <w:rFonts w:hint="eastAsia" w:ascii="宋体" w:hAnsi="宋体"/>
                <w:color w:val="000000"/>
                <w:sz w:val="24"/>
                <w:szCs w:val="24"/>
              </w:rPr>
              <w:t>6</w:t>
            </w:r>
          </w:p>
        </w:tc>
        <w:tc>
          <w:tcPr>
            <w:tcW w:w="733" w:type="pct"/>
            <w:noWrap w:val="0"/>
            <w:vAlign w:val="center"/>
          </w:tcPr>
          <w:p w14:paraId="3D6B2945">
            <w:pPr>
              <w:pStyle w:val="360"/>
              <w:spacing w:line="440" w:lineRule="exact"/>
              <w:jc w:val="center"/>
              <w:rPr>
                <w:rFonts w:ascii="宋体" w:hAnsi="宋体"/>
                <w:color w:val="000000"/>
                <w:sz w:val="24"/>
                <w:szCs w:val="24"/>
              </w:rPr>
            </w:pPr>
            <w:r>
              <w:rPr>
                <w:rFonts w:hint="eastAsia" w:ascii="宋体" w:hAnsi="宋体"/>
                <w:color w:val="000000"/>
                <w:sz w:val="24"/>
                <w:szCs w:val="24"/>
              </w:rPr>
              <w:t>开户银行</w:t>
            </w:r>
          </w:p>
        </w:tc>
        <w:tc>
          <w:tcPr>
            <w:tcW w:w="816" w:type="pct"/>
            <w:noWrap w:val="0"/>
            <w:vAlign w:val="center"/>
          </w:tcPr>
          <w:p w14:paraId="4CA49CDA">
            <w:pPr>
              <w:pStyle w:val="360"/>
              <w:spacing w:line="440" w:lineRule="exact"/>
              <w:jc w:val="center"/>
              <w:rPr>
                <w:rFonts w:ascii="宋体" w:hAnsi="宋体"/>
                <w:color w:val="000000"/>
                <w:sz w:val="24"/>
                <w:szCs w:val="24"/>
              </w:rPr>
            </w:pPr>
          </w:p>
        </w:tc>
        <w:tc>
          <w:tcPr>
            <w:tcW w:w="423" w:type="pct"/>
            <w:gridSpan w:val="2"/>
            <w:noWrap w:val="0"/>
            <w:vAlign w:val="center"/>
          </w:tcPr>
          <w:p w14:paraId="57E811A5">
            <w:pPr>
              <w:pStyle w:val="360"/>
              <w:spacing w:line="440" w:lineRule="exact"/>
              <w:jc w:val="center"/>
              <w:rPr>
                <w:rFonts w:ascii="宋体" w:hAnsi="宋体"/>
                <w:color w:val="000000"/>
                <w:sz w:val="24"/>
                <w:szCs w:val="24"/>
              </w:rPr>
            </w:pPr>
            <w:r>
              <w:rPr>
                <w:rFonts w:hint="eastAsia" w:ascii="宋体" w:hAnsi="宋体"/>
                <w:color w:val="000000"/>
                <w:sz w:val="24"/>
                <w:szCs w:val="24"/>
              </w:rPr>
              <w:t>7</w:t>
            </w:r>
          </w:p>
        </w:tc>
        <w:tc>
          <w:tcPr>
            <w:tcW w:w="1153" w:type="pct"/>
            <w:gridSpan w:val="3"/>
            <w:noWrap w:val="0"/>
            <w:vAlign w:val="center"/>
          </w:tcPr>
          <w:p w14:paraId="36EC6BCE">
            <w:pPr>
              <w:pStyle w:val="360"/>
              <w:spacing w:line="440" w:lineRule="exact"/>
              <w:jc w:val="center"/>
              <w:rPr>
                <w:rFonts w:ascii="宋体" w:hAnsi="宋体"/>
                <w:color w:val="000000"/>
                <w:sz w:val="24"/>
                <w:szCs w:val="24"/>
              </w:rPr>
            </w:pPr>
            <w:r>
              <w:rPr>
                <w:rFonts w:hint="eastAsia" w:ascii="宋体" w:hAnsi="宋体"/>
                <w:color w:val="000000"/>
                <w:sz w:val="24"/>
                <w:szCs w:val="24"/>
              </w:rPr>
              <w:t>账号</w:t>
            </w:r>
          </w:p>
        </w:tc>
        <w:tc>
          <w:tcPr>
            <w:tcW w:w="1259" w:type="pct"/>
            <w:gridSpan w:val="2"/>
            <w:noWrap w:val="0"/>
            <w:vAlign w:val="center"/>
          </w:tcPr>
          <w:p w14:paraId="351AE6F9">
            <w:pPr>
              <w:pStyle w:val="360"/>
              <w:spacing w:line="440" w:lineRule="exact"/>
              <w:jc w:val="center"/>
              <w:rPr>
                <w:rFonts w:ascii="宋体" w:hAnsi="宋体"/>
                <w:color w:val="000000"/>
                <w:sz w:val="24"/>
                <w:szCs w:val="24"/>
              </w:rPr>
            </w:pPr>
          </w:p>
        </w:tc>
      </w:tr>
      <w:tr w14:paraId="1F49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12" w:type="pct"/>
            <w:tcBorders>
              <w:bottom w:val="single" w:color="auto" w:sz="4" w:space="0"/>
            </w:tcBorders>
            <w:noWrap w:val="0"/>
            <w:vAlign w:val="center"/>
          </w:tcPr>
          <w:p w14:paraId="051D6B59">
            <w:pPr>
              <w:pStyle w:val="360"/>
              <w:spacing w:line="440" w:lineRule="exact"/>
              <w:jc w:val="center"/>
              <w:rPr>
                <w:rFonts w:ascii="宋体" w:hAnsi="宋体"/>
                <w:color w:val="000000"/>
                <w:sz w:val="24"/>
                <w:szCs w:val="24"/>
              </w:rPr>
            </w:pPr>
            <w:r>
              <w:rPr>
                <w:rFonts w:hint="eastAsia" w:ascii="宋体" w:hAnsi="宋体"/>
                <w:color w:val="000000"/>
                <w:sz w:val="24"/>
                <w:szCs w:val="24"/>
              </w:rPr>
              <w:t>8</w:t>
            </w:r>
          </w:p>
        </w:tc>
        <w:tc>
          <w:tcPr>
            <w:tcW w:w="733" w:type="pct"/>
            <w:tcBorders>
              <w:bottom w:val="single" w:color="auto" w:sz="4" w:space="0"/>
            </w:tcBorders>
            <w:noWrap w:val="0"/>
            <w:vAlign w:val="center"/>
          </w:tcPr>
          <w:p w14:paraId="1BBDFA86">
            <w:pPr>
              <w:pStyle w:val="360"/>
              <w:spacing w:line="440" w:lineRule="exact"/>
              <w:jc w:val="center"/>
              <w:rPr>
                <w:rFonts w:ascii="宋体" w:hAnsi="宋体"/>
                <w:color w:val="000000"/>
                <w:sz w:val="24"/>
                <w:szCs w:val="24"/>
              </w:rPr>
            </w:pPr>
            <w:r>
              <w:rPr>
                <w:rFonts w:hint="eastAsia" w:ascii="宋体" w:hAnsi="宋体"/>
                <w:color w:val="000000"/>
                <w:sz w:val="24"/>
                <w:szCs w:val="24"/>
              </w:rPr>
              <w:t>项目联系人</w:t>
            </w:r>
          </w:p>
        </w:tc>
        <w:tc>
          <w:tcPr>
            <w:tcW w:w="816" w:type="pct"/>
            <w:tcBorders>
              <w:bottom w:val="single" w:color="auto" w:sz="4" w:space="0"/>
            </w:tcBorders>
            <w:noWrap w:val="0"/>
            <w:vAlign w:val="center"/>
          </w:tcPr>
          <w:p w14:paraId="621D3891">
            <w:pPr>
              <w:pStyle w:val="360"/>
              <w:spacing w:line="440" w:lineRule="exact"/>
              <w:jc w:val="center"/>
              <w:rPr>
                <w:rFonts w:ascii="宋体" w:hAnsi="宋体"/>
                <w:color w:val="000000"/>
                <w:sz w:val="24"/>
                <w:szCs w:val="24"/>
              </w:rPr>
            </w:pPr>
          </w:p>
        </w:tc>
        <w:tc>
          <w:tcPr>
            <w:tcW w:w="423" w:type="pct"/>
            <w:gridSpan w:val="2"/>
            <w:tcBorders>
              <w:bottom w:val="single" w:color="auto" w:sz="4" w:space="0"/>
            </w:tcBorders>
            <w:noWrap w:val="0"/>
            <w:vAlign w:val="center"/>
          </w:tcPr>
          <w:p w14:paraId="69B52334">
            <w:pPr>
              <w:pStyle w:val="360"/>
              <w:spacing w:line="440" w:lineRule="exact"/>
              <w:jc w:val="center"/>
              <w:rPr>
                <w:rFonts w:ascii="宋体" w:hAnsi="宋体"/>
                <w:color w:val="000000"/>
                <w:sz w:val="24"/>
                <w:szCs w:val="24"/>
              </w:rPr>
            </w:pPr>
            <w:r>
              <w:rPr>
                <w:rFonts w:hint="eastAsia" w:ascii="宋体" w:hAnsi="宋体"/>
                <w:color w:val="000000"/>
                <w:sz w:val="24"/>
                <w:szCs w:val="24"/>
              </w:rPr>
              <w:t>9</w:t>
            </w:r>
          </w:p>
        </w:tc>
        <w:tc>
          <w:tcPr>
            <w:tcW w:w="1153" w:type="pct"/>
            <w:gridSpan w:val="3"/>
            <w:tcBorders>
              <w:bottom w:val="single" w:color="auto" w:sz="4" w:space="0"/>
            </w:tcBorders>
            <w:noWrap w:val="0"/>
            <w:vAlign w:val="center"/>
          </w:tcPr>
          <w:p w14:paraId="062E947A">
            <w:pPr>
              <w:pStyle w:val="360"/>
              <w:spacing w:line="440" w:lineRule="exact"/>
              <w:jc w:val="center"/>
              <w:rPr>
                <w:rFonts w:ascii="宋体" w:hAnsi="宋体"/>
                <w:color w:val="000000"/>
                <w:sz w:val="24"/>
                <w:szCs w:val="24"/>
              </w:rPr>
            </w:pPr>
            <w:r>
              <w:rPr>
                <w:rFonts w:hint="eastAsia" w:ascii="宋体" w:hAnsi="宋体"/>
                <w:color w:val="000000"/>
                <w:sz w:val="24"/>
                <w:szCs w:val="24"/>
              </w:rPr>
              <w:t>联系电话</w:t>
            </w:r>
          </w:p>
        </w:tc>
        <w:tc>
          <w:tcPr>
            <w:tcW w:w="1259" w:type="pct"/>
            <w:gridSpan w:val="2"/>
            <w:tcBorders>
              <w:bottom w:val="single" w:color="auto" w:sz="4" w:space="0"/>
            </w:tcBorders>
            <w:noWrap w:val="0"/>
            <w:vAlign w:val="center"/>
          </w:tcPr>
          <w:p w14:paraId="155079B0">
            <w:pPr>
              <w:pStyle w:val="360"/>
              <w:spacing w:line="440" w:lineRule="exact"/>
              <w:jc w:val="center"/>
              <w:rPr>
                <w:rFonts w:ascii="宋体" w:hAnsi="宋体"/>
                <w:color w:val="000000"/>
                <w:sz w:val="24"/>
                <w:szCs w:val="24"/>
              </w:rPr>
            </w:pPr>
          </w:p>
        </w:tc>
      </w:tr>
      <w:tr w14:paraId="2EA1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12" w:type="pct"/>
            <w:shd w:val="clear" w:color="auto" w:fill="D9D9D9"/>
            <w:noWrap w:val="0"/>
            <w:vAlign w:val="center"/>
          </w:tcPr>
          <w:p w14:paraId="3219CA0A">
            <w:pPr>
              <w:pStyle w:val="360"/>
              <w:spacing w:line="440" w:lineRule="exact"/>
              <w:jc w:val="center"/>
              <w:rPr>
                <w:rFonts w:ascii="宋体" w:hAnsi="宋体"/>
                <w:b/>
                <w:color w:val="000000"/>
                <w:sz w:val="24"/>
                <w:szCs w:val="24"/>
              </w:rPr>
            </w:pPr>
            <w:r>
              <w:rPr>
                <w:rFonts w:hint="eastAsia" w:ascii="宋体" w:hAnsi="宋体"/>
                <w:b/>
                <w:color w:val="000000"/>
                <w:sz w:val="24"/>
                <w:szCs w:val="24"/>
              </w:rPr>
              <w:t>二</w:t>
            </w:r>
          </w:p>
        </w:tc>
        <w:tc>
          <w:tcPr>
            <w:tcW w:w="4387" w:type="pct"/>
            <w:gridSpan w:val="9"/>
            <w:shd w:val="clear" w:color="auto" w:fill="D9D9D9"/>
            <w:noWrap w:val="0"/>
            <w:vAlign w:val="center"/>
          </w:tcPr>
          <w:p w14:paraId="34D75403">
            <w:pPr>
              <w:pStyle w:val="360"/>
              <w:spacing w:line="440" w:lineRule="exact"/>
              <w:jc w:val="center"/>
              <w:rPr>
                <w:rFonts w:ascii="宋体" w:hAnsi="宋体"/>
                <w:b/>
                <w:color w:val="000000"/>
                <w:sz w:val="24"/>
                <w:szCs w:val="24"/>
              </w:rPr>
            </w:pPr>
            <w:r>
              <w:rPr>
                <w:rFonts w:hint="eastAsia" w:ascii="宋体" w:hAnsi="宋体"/>
                <w:b/>
                <w:color w:val="000000"/>
                <w:sz w:val="24"/>
                <w:szCs w:val="24"/>
              </w:rPr>
              <w:t>公司财务状况</w:t>
            </w:r>
          </w:p>
        </w:tc>
      </w:tr>
      <w:tr w14:paraId="79C6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12" w:type="pct"/>
            <w:noWrap w:val="0"/>
            <w:vAlign w:val="center"/>
          </w:tcPr>
          <w:p w14:paraId="4CD80869">
            <w:pPr>
              <w:pStyle w:val="360"/>
              <w:spacing w:line="440" w:lineRule="exact"/>
              <w:jc w:val="center"/>
              <w:rPr>
                <w:rFonts w:ascii="宋体" w:hAnsi="宋体"/>
                <w:b/>
                <w:color w:val="000000"/>
                <w:sz w:val="24"/>
                <w:szCs w:val="24"/>
              </w:rPr>
            </w:pPr>
            <w:r>
              <w:rPr>
                <w:rFonts w:hint="eastAsia" w:ascii="宋体" w:hAnsi="宋体"/>
                <w:b/>
                <w:color w:val="000000"/>
                <w:sz w:val="24"/>
                <w:szCs w:val="24"/>
              </w:rPr>
              <w:t>（一）</w:t>
            </w:r>
          </w:p>
        </w:tc>
        <w:tc>
          <w:tcPr>
            <w:tcW w:w="4387" w:type="pct"/>
            <w:gridSpan w:val="9"/>
            <w:noWrap w:val="0"/>
            <w:vAlign w:val="center"/>
          </w:tcPr>
          <w:p w14:paraId="24237ACE">
            <w:pPr>
              <w:pStyle w:val="360"/>
              <w:spacing w:line="440" w:lineRule="exact"/>
              <w:jc w:val="center"/>
              <w:rPr>
                <w:rFonts w:ascii="宋体" w:hAnsi="宋体"/>
                <w:b/>
                <w:color w:val="000000"/>
                <w:sz w:val="24"/>
                <w:szCs w:val="24"/>
              </w:rPr>
            </w:pPr>
            <w:r>
              <w:rPr>
                <w:rFonts w:hint="eastAsia" w:ascii="宋体" w:hAnsi="宋体"/>
                <w:b/>
                <w:color w:val="000000"/>
                <w:kern w:val="0"/>
                <w:sz w:val="24"/>
                <w:szCs w:val="24"/>
                <w:u w:val="single"/>
              </w:rPr>
              <w:t>××××</w:t>
            </w:r>
            <w:r>
              <w:rPr>
                <w:rFonts w:hint="eastAsia" w:ascii="宋体" w:hAnsi="宋体"/>
                <w:b/>
                <w:color w:val="000000"/>
                <w:sz w:val="24"/>
                <w:szCs w:val="24"/>
              </w:rPr>
              <w:t>年度财务状况</w:t>
            </w:r>
          </w:p>
        </w:tc>
      </w:tr>
      <w:tr w14:paraId="2D2A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12" w:type="pct"/>
            <w:noWrap w:val="0"/>
            <w:vAlign w:val="center"/>
          </w:tcPr>
          <w:p w14:paraId="3F49EF8C">
            <w:pPr>
              <w:pStyle w:val="360"/>
              <w:spacing w:line="440" w:lineRule="exact"/>
              <w:jc w:val="center"/>
              <w:rPr>
                <w:rFonts w:ascii="宋体" w:hAnsi="宋体"/>
                <w:color w:val="000000"/>
                <w:sz w:val="24"/>
                <w:szCs w:val="24"/>
              </w:rPr>
            </w:pPr>
            <w:r>
              <w:rPr>
                <w:rFonts w:hint="eastAsia" w:ascii="宋体" w:hAnsi="宋体"/>
                <w:color w:val="000000"/>
                <w:sz w:val="24"/>
                <w:szCs w:val="24"/>
              </w:rPr>
              <w:t>1</w:t>
            </w:r>
          </w:p>
        </w:tc>
        <w:tc>
          <w:tcPr>
            <w:tcW w:w="733" w:type="pct"/>
            <w:noWrap w:val="0"/>
            <w:vAlign w:val="center"/>
          </w:tcPr>
          <w:p w14:paraId="342B0884">
            <w:pPr>
              <w:pStyle w:val="360"/>
              <w:spacing w:line="440" w:lineRule="exact"/>
              <w:jc w:val="center"/>
              <w:rPr>
                <w:rFonts w:ascii="宋体" w:hAnsi="宋体"/>
                <w:color w:val="000000"/>
                <w:sz w:val="24"/>
                <w:szCs w:val="24"/>
              </w:rPr>
            </w:pPr>
            <w:r>
              <w:rPr>
                <w:rFonts w:hint="eastAsia" w:ascii="宋体" w:hAnsi="宋体"/>
                <w:color w:val="000000"/>
                <w:sz w:val="24"/>
                <w:szCs w:val="24"/>
              </w:rPr>
              <w:t>营业收入（万）：</w:t>
            </w:r>
          </w:p>
        </w:tc>
        <w:tc>
          <w:tcPr>
            <w:tcW w:w="816" w:type="pct"/>
            <w:noWrap w:val="0"/>
            <w:vAlign w:val="center"/>
          </w:tcPr>
          <w:p w14:paraId="69072FDA">
            <w:pPr>
              <w:pStyle w:val="360"/>
              <w:spacing w:line="440" w:lineRule="exact"/>
              <w:jc w:val="center"/>
              <w:rPr>
                <w:rFonts w:ascii="宋体" w:hAnsi="宋体"/>
                <w:color w:val="000000"/>
                <w:sz w:val="24"/>
                <w:szCs w:val="24"/>
              </w:rPr>
            </w:pPr>
          </w:p>
        </w:tc>
        <w:tc>
          <w:tcPr>
            <w:tcW w:w="423" w:type="pct"/>
            <w:gridSpan w:val="2"/>
            <w:noWrap w:val="0"/>
            <w:vAlign w:val="center"/>
          </w:tcPr>
          <w:p w14:paraId="2C057C88">
            <w:pPr>
              <w:pStyle w:val="360"/>
              <w:spacing w:line="440" w:lineRule="exact"/>
              <w:jc w:val="center"/>
              <w:rPr>
                <w:rFonts w:ascii="宋体" w:hAnsi="宋体"/>
                <w:color w:val="000000"/>
                <w:sz w:val="24"/>
                <w:szCs w:val="24"/>
              </w:rPr>
            </w:pPr>
            <w:r>
              <w:rPr>
                <w:rFonts w:hint="eastAsia" w:ascii="宋体" w:hAnsi="宋体"/>
                <w:color w:val="000000"/>
                <w:sz w:val="24"/>
                <w:szCs w:val="24"/>
              </w:rPr>
              <w:t>2</w:t>
            </w:r>
          </w:p>
        </w:tc>
        <w:tc>
          <w:tcPr>
            <w:tcW w:w="1153" w:type="pct"/>
            <w:gridSpan w:val="3"/>
            <w:noWrap w:val="0"/>
            <w:vAlign w:val="center"/>
          </w:tcPr>
          <w:p w14:paraId="1FDC185D">
            <w:pPr>
              <w:pStyle w:val="360"/>
              <w:spacing w:line="440" w:lineRule="exact"/>
              <w:jc w:val="center"/>
              <w:rPr>
                <w:rFonts w:ascii="宋体" w:hAnsi="宋体"/>
                <w:color w:val="000000"/>
                <w:sz w:val="24"/>
                <w:szCs w:val="24"/>
              </w:rPr>
            </w:pPr>
            <w:r>
              <w:rPr>
                <w:rFonts w:hint="eastAsia" w:ascii="宋体" w:hAnsi="宋体"/>
                <w:color w:val="000000"/>
                <w:sz w:val="24"/>
                <w:szCs w:val="24"/>
              </w:rPr>
              <w:t>利润总额（万）</w:t>
            </w:r>
          </w:p>
        </w:tc>
        <w:tc>
          <w:tcPr>
            <w:tcW w:w="1259" w:type="pct"/>
            <w:gridSpan w:val="2"/>
            <w:noWrap w:val="0"/>
            <w:vAlign w:val="center"/>
          </w:tcPr>
          <w:p w14:paraId="4C69207E">
            <w:pPr>
              <w:pStyle w:val="360"/>
              <w:spacing w:line="440" w:lineRule="exact"/>
              <w:jc w:val="center"/>
              <w:rPr>
                <w:rFonts w:ascii="宋体" w:hAnsi="宋体"/>
                <w:color w:val="000000"/>
                <w:sz w:val="24"/>
                <w:szCs w:val="24"/>
              </w:rPr>
            </w:pPr>
          </w:p>
        </w:tc>
      </w:tr>
      <w:tr w14:paraId="58FD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12" w:type="pct"/>
            <w:noWrap w:val="0"/>
            <w:vAlign w:val="center"/>
          </w:tcPr>
          <w:p w14:paraId="7655D869">
            <w:pPr>
              <w:pStyle w:val="360"/>
              <w:spacing w:line="440" w:lineRule="exact"/>
              <w:jc w:val="center"/>
              <w:rPr>
                <w:rFonts w:ascii="宋体" w:hAnsi="宋体"/>
                <w:color w:val="000000"/>
                <w:sz w:val="24"/>
                <w:szCs w:val="24"/>
              </w:rPr>
            </w:pPr>
            <w:r>
              <w:rPr>
                <w:rFonts w:hint="eastAsia" w:ascii="宋体" w:hAnsi="宋体"/>
                <w:color w:val="000000"/>
                <w:sz w:val="24"/>
                <w:szCs w:val="24"/>
              </w:rPr>
              <w:t>3</w:t>
            </w:r>
          </w:p>
        </w:tc>
        <w:tc>
          <w:tcPr>
            <w:tcW w:w="733" w:type="pct"/>
            <w:noWrap w:val="0"/>
            <w:vAlign w:val="center"/>
          </w:tcPr>
          <w:p w14:paraId="4D514D8A">
            <w:pPr>
              <w:pStyle w:val="360"/>
              <w:spacing w:line="440" w:lineRule="exact"/>
              <w:jc w:val="center"/>
              <w:rPr>
                <w:rFonts w:ascii="宋体" w:hAnsi="宋体"/>
                <w:color w:val="000000"/>
                <w:sz w:val="24"/>
                <w:szCs w:val="24"/>
              </w:rPr>
            </w:pPr>
            <w:r>
              <w:rPr>
                <w:rFonts w:hint="eastAsia" w:ascii="宋体" w:hAnsi="宋体"/>
                <w:color w:val="000000"/>
                <w:sz w:val="24"/>
                <w:szCs w:val="24"/>
              </w:rPr>
              <w:t>年末“固定资产合计”（万）</w:t>
            </w:r>
          </w:p>
        </w:tc>
        <w:tc>
          <w:tcPr>
            <w:tcW w:w="816" w:type="pct"/>
            <w:noWrap w:val="0"/>
            <w:vAlign w:val="center"/>
          </w:tcPr>
          <w:p w14:paraId="0817C3D6">
            <w:pPr>
              <w:pStyle w:val="360"/>
              <w:spacing w:line="440" w:lineRule="exact"/>
              <w:jc w:val="center"/>
              <w:rPr>
                <w:rFonts w:ascii="宋体" w:hAnsi="宋体"/>
                <w:color w:val="000000"/>
                <w:sz w:val="24"/>
                <w:szCs w:val="24"/>
              </w:rPr>
            </w:pPr>
          </w:p>
        </w:tc>
        <w:tc>
          <w:tcPr>
            <w:tcW w:w="423" w:type="pct"/>
            <w:gridSpan w:val="2"/>
            <w:noWrap w:val="0"/>
            <w:vAlign w:val="center"/>
          </w:tcPr>
          <w:p w14:paraId="6FD7253A">
            <w:pPr>
              <w:pStyle w:val="360"/>
              <w:spacing w:line="440" w:lineRule="exact"/>
              <w:jc w:val="center"/>
              <w:rPr>
                <w:rFonts w:ascii="宋体" w:hAnsi="宋体"/>
                <w:color w:val="000000"/>
                <w:sz w:val="24"/>
                <w:szCs w:val="24"/>
              </w:rPr>
            </w:pPr>
            <w:r>
              <w:rPr>
                <w:rFonts w:hint="eastAsia" w:ascii="宋体" w:hAnsi="宋体"/>
                <w:color w:val="000000"/>
                <w:sz w:val="24"/>
                <w:szCs w:val="24"/>
              </w:rPr>
              <w:t>4</w:t>
            </w:r>
          </w:p>
        </w:tc>
        <w:tc>
          <w:tcPr>
            <w:tcW w:w="1153" w:type="pct"/>
            <w:gridSpan w:val="3"/>
            <w:noWrap w:val="0"/>
            <w:vAlign w:val="center"/>
          </w:tcPr>
          <w:p w14:paraId="49A3F970">
            <w:pPr>
              <w:pStyle w:val="360"/>
              <w:spacing w:line="440" w:lineRule="exact"/>
              <w:jc w:val="center"/>
              <w:rPr>
                <w:rFonts w:ascii="宋体" w:hAnsi="宋体"/>
                <w:color w:val="000000"/>
                <w:sz w:val="24"/>
                <w:szCs w:val="24"/>
              </w:rPr>
            </w:pPr>
            <w:r>
              <w:rPr>
                <w:rFonts w:hint="eastAsia" w:ascii="宋体" w:hAnsi="宋体"/>
                <w:color w:val="000000"/>
                <w:sz w:val="24"/>
                <w:szCs w:val="24"/>
              </w:rPr>
              <w:t>年末“流动资产”余额（万）</w:t>
            </w:r>
          </w:p>
        </w:tc>
        <w:tc>
          <w:tcPr>
            <w:tcW w:w="1259" w:type="pct"/>
            <w:gridSpan w:val="2"/>
            <w:noWrap w:val="0"/>
            <w:vAlign w:val="center"/>
          </w:tcPr>
          <w:p w14:paraId="572F0DDC">
            <w:pPr>
              <w:pStyle w:val="360"/>
              <w:spacing w:line="440" w:lineRule="exact"/>
              <w:jc w:val="center"/>
              <w:rPr>
                <w:rFonts w:ascii="宋体" w:hAnsi="宋体"/>
                <w:color w:val="000000"/>
                <w:sz w:val="24"/>
                <w:szCs w:val="24"/>
              </w:rPr>
            </w:pPr>
          </w:p>
        </w:tc>
      </w:tr>
      <w:tr w14:paraId="00FA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12" w:type="pct"/>
            <w:noWrap w:val="0"/>
            <w:vAlign w:val="center"/>
          </w:tcPr>
          <w:p w14:paraId="6C15899E">
            <w:pPr>
              <w:pStyle w:val="360"/>
              <w:spacing w:line="440" w:lineRule="exact"/>
              <w:jc w:val="center"/>
              <w:rPr>
                <w:rFonts w:ascii="宋体" w:hAnsi="宋体"/>
                <w:color w:val="000000"/>
                <w:sz w:val="24"/>
                <w:szCs w:val="24"/>
              </w:rPr>
            </w:pPr>
            <w:r>
              <w:rPr>
                <w:rFonts w:hint="eastAsia" w:ascii="宋体" w:hAnsi="宋体"/>
                <w:color w:val="000000"/>
                <w:sz w:val="24"/>
                <w:szCs w:val="24"/>
              </w:rPr>
              <w:t>5</w:t>
            </w:r>
          </w:p>
        </w:tc>
        <w:tc>
          <w:tcPr>
            <w:tcW w:w="733" w:type="pct"/>
            <w:noWrap w:val="0"/>
            <w:vAlign w:val="center"/>
          </w:tcPr>
          <w:p w14:paraId="17ED1E6B">
            <w:pPr>
              <w:pStyle w:val="360"/>
              <w:spacing w:line="440" w:lineRule="exact"/>
              <w:jc w:val="center"/>
              <w:rPr>
                <w:rFonts w:ascii="宋体" w:hAnsi="宋体"/>
                <w:color w:val="000000"/>
                <w:sz w:val="24"/>
                <w:szCs w:val="24"/>
              </w:rPr>
            </w:pPr>
            <w:r>
              <w:rPr>
                <w:rFonts w:hint="eastAsia" w:ascii="宋体" w:hAnsi="宋体"/>
                <w:color w:val="000000"/>
                <w:sz w:val="24"/>
                <w:szCs w:val="24"/>
              </w:rPr>
              <w:t>年末“短期负债”余额（万）</w:t>
            </w:r>
          </w:p>
        </w:tc>
        <w:tc>
          <w:tcPr>
            <w:tcW w:w="816" w:type="pct"/>
            <w:noWrap w:val="0"/>
            <w:vAlign w:val="center"/>
          </w:tcPr>
          <w:p w14:paraId="0590B2F6">
            <w:pPr>
              <w:pStyle w:val="360"/>
              <w:spacing w:line="440" w:lineRule="exact"/>
              <w:jc w:val="center"/>
              <w:rPr>
                <w:rFonts w:ascii="宋体" w:hAnsi="宋体"/>
                <w:color w:val="000000"/>
                <w:sz w:val="24"/>
                <w:szCs w:val="24"/>
              </w:rPr>
            </w:pPr>
          </w:p>
        </w:tc>
        <w:tc>
          <w:tcPr>
            <w:tcW w:w="423" w:type="pct"/>
            <w:gridSpan w:val="2"/>
            <w:noWrap w:val="0"/>
            <w:vAlign w:val="center"/>
          </w:tcPr>
          <w:p w14:paraId="0CFC2DD9">
            <w:pPr>
              <w:pStyle w:val="360"/>
              <w:spacing w:line="440" w:lineRule="exact"/>
              <w:jc w:val="center"/>
              <w:rPr>
                <w:rFonts w:ascii="宋体" w:hAnsi="宋体"/>
                <w:color w:val="000000"/>
                <w:sz w:val="24"/>
                <w:szCs w:val="24"/>
              </w:rPr>
            </w:pPr>
            <w:r>
              <w:rPr>
                <w:rFonts w:hint="eastAsia" w:ascii="宋体" w:hAnsi="宋体"/>
                <w:color w:val="000000"/>
                <w:sz w:val="24"/>
                <w:szCs w:val="24"/>
              </w:rPr>
              <w:t>6</w:t>
            </w:r>
          </w:p>
        </w:tc>
        <w:tc>
          <w:tcPr>
            <w:tcW w:w="1153" w:type="pct"/>
            <w:gridSpan w:val="3"/>
            <w:noWrap w:val="0"/>
            <w:vAlign w:val="center"/>
          </w:tcPr>
          <w:p w14:paraId="64C386C5">
            <w:pPr>
              <w:pStyle w:val="360"/>
              <w:spacing w:line="440" w:lineRule="exact"/>
              <w:jc w:val="center"/>
              <w:rPr>
                <w:rFonts w:ascii="宋体" w:hAnsi="宋体"/>
                <w:color w:val="000000"/>
                <w:sz w:val="24"/>
                <w:szCs w:val="24"/>
              </w:rPr>
            </w:pPr>
            <w:r>
              <w:rPr>
                <w:rFonts w:hint="eastAsia" w:ascii="宋体" w:hAnsi="宋体"/>
                <w:color w:val="000000"/>
                <w:sz w:val="24"/>
                <w:szCs w:val="24"/>
              </w:rPr>
              <w:t>年末“长期负债”余额（万）</w:t>
            </w:r>
          </w:p>
        </w:tc>
        <w:tc>
          <w:tcPr>
            <w:tcW w:w="1259" w:type="pct"/>
            <w:gridSpan w:val="2"/>
            <w:noWrap w:val="0"/>
            <w:vAlign w:val="center"/>
          </w:tcPr>
          <w:p w14:paraId="457A893B">
            <w:pPr>
              <w:pStyle w:val="360"/>
              <w:spacing w:line="440" w:lineRule="exact"/>
              <w:jc w:val="center"/>
              <w:rPr>
                <w:rFonts w:ascii="宋体" w:hAnsi="宋体"/>
                <w:color w:val="000000"/>
                <w:sz w:val="24"/>
                <w:szCs w:val="24"/>
              </w:rPr>
            </w:pPr>
          </w:p>
        </w:tc>
      </w:tr>
      <w:tr w14:paraId="13CE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2" w:type="pct"/>
            <w:noWrap w:val="0"/>
            <w:vAlign w:val="center"/>
          </w:tcPr>
          <w:p w14:paraId="0A42E560">
            <w:pPr>
              <w:pStyle w:val="360"/>
              <w:spacing w:line="440" w:lineRule="exact"/>
              <w:jc w:val="center"/>
              <w:rPr>
                <w:rFonts w:ascii="宋体" w:hAnsi="宋体"/>
                <w:color w:val="000000"/>
                <w:sz w:val="24"/>
                <w:szCs w:val="24"/>
              </w:rPr>
            </w:pPr>
            <w:r>
              <w:rPr>
                <w:rFonts w:hint="eastAsia" w:ascii="宋体" w:hAnsi="宋体"/>
                <w:color w:val="000000"/>
                <w:sz w:val="24"/>
                <w:szCs w:val="24"/>
              </w:rPr>
              <w:t>7</w:t>
            </w:r>
          </w:p>
        </w:tc>
        <w:tc>
          <w:tcPr>
            <w:tcW w:w="733" w:type="pct"/>
            <w:noWrap w:val="0"/>
            <w:vAlign w:val="center"/>
          </w:tcPr>
          <w:p w14:paraId="0FC658AE">
            <w:pPr>
              <w:pStyle w:val="360"/>
              <w:spacing w:line="440" w:lineRule="exact"/>
              <w:jc w:val="center"/>
              <w:rPr>
                <w:rFonts w:ascii="宋体" w:hAnsi="宋体"/>
                <w:color w:val="000000"/>
                <w:sz w:val="24"/>
                <w:szCs w:val="24"/>
              </w:rPr>
            </w:pPr>
            <w:r>
              <w:rPr>
                <w:rFonts w:hint="eastAsia" w:ascii="宋体" w:hAnsi="宋体"/>
                <w:color w:val="000000"/>
                <w:sz w:val="24"/>
                <w:szCs w:val="24"/>
              </w:rPr>
              <w:t>年末“资产总计”余额（万）</w:t>
            </w:r>
          </w:p>
        </w:tc>
        <w:tc>
          <w:tcPr>
            <w:tcW w:w="816" w:type="pct"/>
            <w:noWrap w:val="0"/>
            <w:vAlign w:val="center"/>
          </w:tcPr>
          <w:p w14:paraId="5D716755">
            <w:pPr>
              <w:pStyle w:val="360"/>
              <w:spacing w:line="440" w:lineRule="exact"/>
              <w:jc w:val="center"/>
              <w:rPr>
                <w:rFonts w:ascii="宋体" w:hAnsi="宋体"/>
                <w:color w:val="000000"/>
                <w:sz w:val="24"/>
                <w:szCs w:val="24"/>
              </w:rPr>
            </w:pPr>
          </w:p>
        </w:tc>
        <w:tc>
          <w:tcPr>
            <w:tcW w:w="423" w:type="pct"/>
            <w:gridSpan w:val="2"/>
            <w:noWrap w:val="0"/>
            <w:vAlign w:val="center"/>
          </w:tcPr>
          <w:p w14:paraId="20F1C8A1">
            <w:pPr>
              <w:pStyle w:val="360"/>
              <w:spacing w:line="440" w:lineRule="exact"/>
              <w:jc w:val="center"/>
              <w:rPr>
                <w:rFonts w:ascii="宋体" w:hAnsi="宋体"/>
                <w:color w:val="000000"/>
                <w:sz w:val="24"/>
                <w:szCs w:val="24"/>
              </w:rPr>
            </w:pPr>
            <w:r>
              <w:rPr>
                <w:rFonts w:hint="eastAsia" w:ascii="宋体" w:hAnsi="宋体"/>
                <w:color w:val="000000"/>
                <w:sz w:val="24"/>
                <w:szCs w:val="24"/>
              </w:rPr>
              <w:t>8</w:t>
            </w:r>
          </w:p>
        </w:tc>
        <w:tc>
          <w:tcPr>
            <w:tcW w:w="1153" w:type="pct"/>
            <w:gridSpan w:val="3"/>
            <w:noWrap w:val="0"/>
            <w:vAlign w:val="center"/>
          </w:tcPr>
          <w:p w14:paraId="580D05D6">
            <w:pPr>
              <w:pStyle w:val="360"/>
              <w:spacing w:line="440" w:lineRule="exact"/>
              <w:jc w:val="center"/>
              <w:rPr>
                <w:rFonts w:ascii="宋体" w:hAnsi="宋体"/>
                <w:color w:val="000000"/>
                <w:sz w:val="24"/>
                <w:szCs w:val="24"/>
              </w:rPr>
            </w:pPr>
            <w:r>
              <w:rPr>
                <w:rFonts w:hint="eastAsia" w:ascii="宋体" w:hAnsi="宋体"/>
                <w:color w:val="000000"/>
                <w:sz w:val="24"/>
                <w:szCs w:val="24"/>
              </w:rPr>
              <w:t>年末“货币资金”余额（万）</w:t>
            </w:r>
          </w:p>
        </w:tc>
        <w:tc>
          <w:tcPr>
            <w:tcW w:w="1259" w:type="pct"/>
            <w:gridSpan w:val="2"/>
            <w:noWrap w:val="0"/>
            <w:vAlign w:val="center"/>
          </w:tcPr>
          <w:p w14:paraId="75D04DBB">
            <w:pPr>
              <w:pStyle w:val="360"/>
              <w:spacing w:line="440" w:lineRule="exact"/>
              <w:jc w:val="center"/>
              <w:rPr>
                <w:rFonts w:ascii="宋体" w:hAnsi="宋体"/>
                <w:color w:val="000000"/>
                <w:sz w:val="24"/>
                <w:szCs w:val="24"/>
              </w:rPr>
            </w:pPr>
          </w:p>
        </w:tc>
      </w:tr>
      <w:tr w14:paraId="398F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2" w:type="pct"/>
            <w:shd w:val="clear" w:color="auto" w:fill="D9D9D9"/>
            <w:noWrap w:val="0"/>
            <w:vAlign w:val="center"/>
          </w:tcPr>
          <w:p w14:paraId="2BB1E457">
            <w:pPr>
              <w:pStyle w:val="360"/>
              <w:spacing w:line="440" w:lineRule="exact"/>
              <w:jc w:val="center"/>
              <w:rPr>
                <w:rFonts w:ascii="宋体" w:hAnsi="宋体"/>
                <w:b/>
                <w:color w:val="000000"/>
                <w:sz w:val="24"/>
                <w:szCs w:val="24"/>
              </w:rPr>
            </w:pPr>
            <w:r>
              <w:rPr>
                <w:rFonts w:hint="eastAsia" w:ascii="宋体" w:hAnsi="宋体"/>
                <w:b/>
                <w:color w:val="000000"/>
                <w:sz w:val="24"/>
                <w:szCs w:val="24"/>
              </w:rPr>
              <w:t>三</w:t>
            </w:r>
          </w:p>
        </w:tc>
        <w:tc>
          <w:tcPr>
            <w:tcW w:w="4387" w:type="pct"/>
            <w:gridSpan w:val="9"/>
            <w:shd w:val="clear" w:color="auto" w:fill="D9D9D9"/>
            <w:noWrap w:val="0"/>
            <w:vAlign w:val="center"/>
          </w:tcPr>
          <w:p w14:paraId="0EF17D23">
            <w:pPr>
              <w:pStyle w:val="360"/>
              <w:spacing w:line="440" w:lineRule="exact"/>
              <w:jc w:val="center"/>
              <w:rPr>
                <w:rFonts w:ascii="宋体" w:hAnsi="宋体"/>
                <w:b/>
                <w:color w:val="000000"/>
                <w:sz w:val="24"/>
                <w:szCs w:val="24"/>
              </w:rPr>
            </w:pPr>
            <w:r>
              <w:rPr>
                <w:rFonts w:hint="eastAsia" w:ascii="宋体" w:hAnsi="宋体"/>
                <w:b/>
                <w:color w:val="000000"/>
                <w:sz w:val="24"/>
                <w:szCs w:val="24"/>
              </w:rPr>
              <w:t>供应商其他信息</w:t>
            </w:r>
          </w:p>
        </w:tc>
      </w:tr>
      <w:tr w14:paraId="23BB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2" w:type="pct"/>
            <w:noWrap w:val="0"/>
            <w:vAlign w:val="center"/>
          </w:tcPr>
          <w:p w14:paraId="50E0131C">
            <w:pPr>
              <w:pStyle w:val="360"/>
              <w:spacing w:line="440" w:lineRule="exact"/>
              <w:jc w:val="center"/>
              <w:rPr>
                <w:rFonts w:ascii="宋体" w:hAnsi="宋体"/>
                <w:color w:val="000000"/>
                <w:sz w:val="24"/>
                <w:szCs w:val="24"/>
              </w:rPr>
            </w:pPr>
            <w:r>
              <w:rPr>
                <w:rFonts w:hint="eastAsia" w:ascii="宋体" w:hAnsi="宋体"/>
                <w:color w:val="000000"/>
                <w:sz w:val="24"/>
                <w:szCs w:val="24"/>
              </w:rPr>
              <w:t>（一）</w:t>
            </w:r>
          </w:p>
        </w:tc>
        <w:tc>
          <w:tcPr>
            <w:tcW w:w="733" w:type="pct"/>
            <w:noWrap w:val="0"/>
            <w:vAlign w:val="center"/>
          </w:tcPr>
          <w:p w14:paraId="38F2616E">
            <w:pPr>
              <w:pStyle w:val="360"/>
              <w:spacing w:line="440" w:lineRule="exact"/>
              <w:jc w:val="center"/>
              <w:rPr>
                <w:rFonts w:ascii="宋体" w:hAnsi="宋体"/>
                <w:color w:val="000000"/>
                <w:sz w:val="24"/>
                <w:szCs w:val="24"/>
              </w:rPr>
            </w:pPr>
            <w:r>
              <w:rPr>
                <w:rFonts w:hint="eastAsia" w:ascii="宋体" w:hAnsi="宋体"/>
                <w:color w:val="000000"/>
                <w:sz w:val="24"/>
                <w:szCs w:val="24"/>
              </w:rPr>
              <w:t>公司取得的相关资质及等级：</w:t>
            </w:r>
          </w:p>
        </w:tc>
        <w:tc>
          <w:tcPr>
            <w:tcW w:w="3653" w:type="pct"/>
            <w:gridSpan w:val="8"/>
            <w:noWrap w:val="0"/>
            <w:vAlign w:val="center"/>
          </w:tcPr>
          <w:p w14:paraId="173BAC30">
            <w:pPr>
              <w:pStyle w:val="360"/>
              <w:spacing w:line="440" w:lineRule="exact"/>
              <w:jc w:val="center"/>
              <w:rPr>
                <w:rFonts w:ascii="宋体" w:hAnsi="宋体"/>
                <w:color w:val="000000"/>
                <w:sz w:val="24"/>
                <w:szCs w:val="24"/>
              </w:rPr>
            </w:pPr>
          </w:p>
        </w:tc>
      </w:tr>
      <w:tr w14:paraId="40C9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12" w:type="pct"/>
            <w:noWrap w:val="0"/>
            <w:vAlign w:val="center"/>
          </w:tcPr>
          <w:p w14:paraId="1DAE6223">
            <w:pPr>
              <w:pStyle w:val="360"/>
              <w:spacing w:line="440" w:lineRule="exact"/>
              <w:jc w:val="center"/>
              <w:rPr>
                <w:rFonts w:ascii="宋体" w:hAnsi="宋体"/>
                <w:color w:val="000000"/>
                <w:sz w:val="24"/>
                <w:szCs w:val="24"/>
              </w:rPr>
            </w:pPr>
            <w:r>
              <w:rPr>
                <w:rFonts w:hint="eastAsia" w:ascii="宋体" w:hAnsi="宋体"/>
                <w:color w:val="000000"/>
                <w:sz w:val="24"/>
                <w:szCs w:val="24"/>
              </w:rPr>
              <w:t>（二）</w:t>
            </w:r>
          </w:p>
        </w:tc>
        <w:tc>
          <w:tcPr>
            <w:tcW w:w="733" w:type="pct"/>
            <w:noWrap w:val="0"/>
            <w:vAlign w:val="center"/>
          </w:tcPr>
          <w:p w14:paraId="574630F7">
            <w:pPr>
              <w:pStyle w:val="360"/>
              <w:spacing w:line="440" w:lineRule="exact"/>
              <w:jc w:val="center"/>
              <w:rPr>
                <w:rFonts w:ascii="宋体" w:hAnsi="宋体"/>
                <w:color w:val="000000"/>
                <w:sz w:val="24"/>
                <w:szCs w:val="24"/>
              </w:rPr>
            </w:pPr>
            <w:r>
              <w:rPr>
                <w:rFonts w:hint="eastAsia" w:ascii="宋体" w:hAnsi="宋体"/>
                <w:color w:val="000000"/>
                <w:sz w:val="24"/>
                <w:szCs w:val="24"/>
              </w:rPr>
              <w:t>公司</w:t>
            </w:r>
            <w:r>
              <w:rPr>
                <w:rFonts w:hint="eastAsia" w:ascii="宋体" w:hAnsi="宋体"/>
                <w:b/>
                <w:color w:val="000000"/>
                <w:kern w:val="0"/>
                <w:sz w:val="24"/>
                <w:szCs w:val="24"/>
                <w:u w:val="single"/>
              </w:rPr>
              <w:t>××××</w:t>
            </w:r>
            <w:r>
              <w:rPr>
                <w:rFonts w:hint="eastAsia" w:ascii="宋体" w:hAnsi="宋体"/>
                <w:color w:val="000000"/>
                <w:sz w:val="24"/>
                <w:szCs w:val="24"/>
              </w:rPr>
              <w:t>年度后获得的荣誉及表彰情况</w:t>
            </w:r>
          </w:p>
        </w:tc>
        <w:tc>
          <w:tcPr>
            <w:tcW w:w="3653" w:type="pct"/>
            <w:gridSpan w:val="8"/>
            <w:noWrap w:val="0"/>
            <w:vAlign w:val="center"/>
          </w:tcPr>
          <w:p w14:paraId="1FA08CE5">
            <w:pPr>
              <w:pStyle w:val="360"/>
              <w:spacing w:line="440" w:lineRule="exact"/>
              <w:jc w:val="center"/>
              <w:rPr>
                <w:rFonts w:ascii="宋体" w:hAnsi="宋体"/>
                <w:color w:val="000000"/>
                <w:sz w:val="24"/>
                <w:szCs w:val="24"/>
              </w:rPr>
            </w:pPr>
          </w:p>
        </w:tc>
      </w:tr>
      <w:tr w14:paraId="7B21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2" w:type="pct"/>
            <w:shd w:val="clear" w:color="auto" w:fill="BFBFBF"/>
            <w:noWrap w:val="0"/>
            <w:vAlign w:val="center"/>
          </w:tcPr>
          <w:p w14:paraId="3EE9E840">
            <w:pPr>
              <w:pStyle w:val="360"/>
              <w:spacing w:line="440" w:lineRule="exact"/>
              <w:jc w:val="center"/>
              <w:rPr>
                <w:rFonts w:ascii="宋体" w:hAnsi="宋体"/>
                <w:b/>
                <w:color w:val="000000"/>
                <w:sz w:val="24"/>
                <w:szCs w:val="24"/>
              </w:rPr>
            </w:pPr>
            <w:r>
              <w:rPr>
                <w:rFonts w:hint="eastAsia" w:ascii="宋体" w:hAnsi="宋体"/>
                <w:b/>
                <w:color w:val="000000"/>
                <w:sz w:val="24"/>
                <w:szCs w:val="24"/>
              </w:rPr>
              <w:t>四</w:t>
            </w:r>
          </w:p>
        </w:tc>
        <w:tc>
          <w:tcPr>
            <w:tcW w:w="4387" w:type="pct"/>
            <w:gridSpan w:val="9"/>
            <w:shd w:val="clear" w:color="auto" w:fill="BFBFBF"/>
            <w:noWrap w:val="0"/>
            <w:vAlign w:val="center"/>
          </w:tcPr>
          <w:p w14:paraId="33661729">
            <w:pPr>
              <w:pStyle w:val="360"/>
              <w:spacing w:line="440" w:lineRule="exact"/>
              <w:jc w:val="center"/>
              <w:rPr>
                <w:rFonts w:ascii="宋体" w:hAnsi="宋体"/>
                <w:b/>
                <w:color w:val="000000"/>
                <w:sz w:val="24"/>
                <w:szCs w:val="24"/>
              </w:rPr>
            </w:pPr>
            <w:r>
              <w:rPr>
                <w:rFonts w:hint="eastAsia" w:ascii="宋体" w:hAnsi="宋体"/>
                <w:b/>
                <w:color w:val="000000"/>
                <w:sz w:val="24"/>
                <w:szCs w:val="24"/>
              </w:rPr>
              <w:t xml:space="preserve">提供本项目服务所必须的专业设备一览表 </w:t>
            </w:r>
          </w:p>
        </w:tc>
      </w:tr>
      <w:tr w14:paraId="1A1A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12" w:type="pct"/>
            <w:shd w:val="clear" w:color="auto" w:fill="FFFFFF"/>
            <w:noWrap w:val="0"/>
            <w:vAlign w:val="center"/>
          </w:tcPr>
          <w:p w14:paraId="306CC6B0">
            <w:pPr>
              <w:pStyle w:val="360"/>
              <w:spacing w:line="440" w:lineRule="exact"/>
              <w:jc w:val="center"/>
              <w:rPr>
                <w:rFonts w:ascii="宋体" w:hAnsi="宋体"/>
                <w:b/>
                <w:color w:val="000000"/>
                <w:sz w:val="24"/>
                <w:szCs w:val="24"/>
              </w:rPr>
            </w:pPr>
            <w:r>
              <w:rPr>
                <w:rFonts w:hint="eastAsia" w:ascii="宋体" w:hAnsi="宋体"/>
                <w:b/>
                <w:color w:val="000000"/>
                <w:sz w:val="24"/>
                <w:szCs w:val="24"/>
              </w:rPr>
              <w:t>序号</w:t>
            </w:r>
          </w:p>
        </w:tc>
        <w:tc>
          <w:tcPr>
            <w:tcW w:w="1767" w:type="pct"/>
            <w:gridSpan w:val="3"/>
            <w:shd w:val="clear" w:color="auto" w:fill="FFFFFF"/>
            <w:noWrap w:val="0"/>
            <w:vAlign w:val="center"/>
          </w:tcPr>
          <w:p w14:paraId="04A12F1D">
            <w:pPr>
              <w:pStyle w:val="360"/>
              <w:spacing w:line="440" w:lineRule="exact"/>
              <w:jc w:val="center"/>
              <w:rPr>
                <w:rFonts w:ascii="宋体" w:hAnsi="宋体"/>
                <w:b/>
                <w:color w:val="000000"/>
                <w:sz w:val="24"/>
                <w:szCs w:val="24"/>
              </w:rPr>
            </w:pPr>
            <w:r>
              <w:rPr>
                <w:rFonts w:hint="eastAsia" w:ascii="宋体" w:hAnsi="宋体"/>
                <w:b/>
                <w:color w:val="000000"/>
                <w:sz w:val="24"/>
                <w:szCs w:val="24"/>
              </w:rPr>
              <w:t>品牌、型号及主要参数配置简述</w:t>
            </w:r>
          </w:p>
        </w:tc>
        <w:tc>
          <w:tcPr>
            <w:tcW w:w="621" w:type="pct"/>
            <w:gridSpan w:val="2"/>
            <w:shd w:val="clear" w:color="auto" w:fill="FFFFFF"/>
            <w:noWrap w:val="0"/>
            <w:vAlign w:val="center"/>
          </w:tcPr>
          <w:p w14:paraId="4B675750">
            <w:pPr>
              <w:pStyle w:val="360"/>
              <w:spacing w:line="440" w:lineRule="exact"/>
              <w:jc w:val="center"/>
              <w:rPr>
                <w:rFonts w:ascii="宋体" w:hAnsi="宋体"/>
                <w:b/>
                <w:color w:val="000000"/>
                <w:sz w:val="24"/>
                <w:szCs w:val="24"/>
              </w:rPr>
            </w:pPr>
            <w:r>
              <w:rPr>
                <w:rFonts w:hint="eastAsia" w:ascii="宋体" w:hAnsi="宋体"/>
                <w:b/>
                <w:color w:val="000000"/>
                <w:sz w:val="24"/>
                <w:szCs w:val="24"/>
              </w:rPr>
              <w:t>购置年份</w:t>
            </w:r>
          </w:p>
        </w:tc>
        <w:tc>
          <w:tcPr>
            <w:tcW w:w="584" w:type="pct"/>
            <w:shd w:val="clear" w:color="auto" w:fill="FFFFFF"/>
            <w:noWrap w:val="0"/>
            <w:vAlign w:val="center"/>
          </w:tcPr>
          <w:p w14:paraId="66109C71">
            <w:pPr>
              <w:pStyle w:val="360"/>
              <w:spacing w:line="440" w:lineRule="exact"/>
              <w:jc w:val="center"/>
              <w:rPr>
                <w:rFonts w:ascii="宋体" w:hAnsi="宋体"/>
                <w:b/>
                <w:color w:val="000000"/>
                <w:sz w:val="24"/>
                <w:szCs w:val="24"/>
              </w:rPr>
            </w:pPr>
            <w:r>
              <w:rPr>
                <w:rFonts w:hint="eastAsia" w:ascii="宋体" w:hAnsi="宋体"/>
                <w:b/>
                <w:color w:val="000000"/>
                <w:sz w:val="24"/>
                <w:szCs w:val="24"/>
              </w:rPr>
              <w:t>价格</w:t>
            </w:r>
          </w:p>
        </w:tc>
        <w:tc>
          <w:tcPr>
            <w:tcW w:w="656" w:type="pct"/>
            <w:gridSpan w:val="2"/>
            <w:shd w:val="clear" w:color="auto" w:fill="FFFFFF"/>
            <w:noWrap w:val="0"/>
            <w:vAlign w:val="center"/>
          </w:tcPr>
          <w:p w14:paraId="18B57D2B">
            <w:pPr>
              <w:pStyle w:val="360"/>
              <w:spacing w:line="440" w:lineRule="exact"/>
              <w:jc w:val="center"/>
              <w:rPr>
                <w:rFonts w:ascii="宋体" w:hAnsi="宋体"/>
                <w:b/>
                <w:color w:val="000000"/>
                <w:sz w:val="24"/>
                <w:szCs w:val="24"/>
              </w:rPr>
            </w:pPr>
            <w:r>
              <w:rPr>
                <w:rFonts w:hint="eastAsia" w:ascii="宋体" w:hAnsi="宋体"/>
                <w:b/>
                <w:color w:val="000000"/>
                <w:sz w:val="24"/>
                <w:szCs w:val="24"/>
              </w:rPr>
              <w:t>数量</w:t>
            </w:r>
          </w:p>
        </w:tc>
        <w:tc>
          <w:tcPr>
            <w:tcW w:w="755" w:type="pct"/>
            <w:shd w:val="clear" w:color="auto" w:fill="FFFFFF"/>
            <w:noWrap w:val="0"/>
            <w:vAlign w:val="center"/>
          </w:tcPr>
          <w:p w14:paraId="01C16CF4">
            <w:pPr>
              <w:pStyle w:val="360"/>
              <w:spacing w:line="440" w:lineRule="exact"/>
              <w:jc w:val="center"/>
              <w:rPr>
                <w:rFonts w:ascii="宋体" w:hAnsi="宋体"/>
                <w:b/>
                <w:color w:val="000000"/>
                <w:sz w:val="24"/>
                <w:szCs w:val="24"/>
              </w:rPr>
            </w:pPr>
            <w:r>
              <w:rPr>
                <w:rFonts w:hint="eastAsia" w:ascii="宋体" w:hAnsi="宋体"/>
                <w:b/>
                <w:color w:val="000000"/>
                <w:sz w:val="24"/>
                <w:szCs w:val="24"/>
              </w:rPr>
              <w:t>用途</w:t>
            </w:r>
          </w:p>
        </w:tc>
      </w:tr>
      <w:tr w14:paraId="49E8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12" w:type="pct"/>
            <w:shd w:val="clear" w:color="auto" w:fill="FFFFFF"/>
            <w:noWrap w:val="0"/>
            <w:vAlign w:val="center"/>
          </w:tcPr>
          <w:p w14:paraId="1FD4AF8B">
            <w:pPr>
              <w:pStyle w:val="360"/>
              <w:spacing w:line="440" w:lineRule="exact"/>
              <w:jc w:val="center"/>
              <w:rPr>
                <w:rFonts w:ascii="宋体" w:hAnsi="宋体"/>
                <w:b/>
                <w:color w:val="000000"/>
                <w:sz w:val="24"/>
                <w:szCs w:val="24"/>
              </w:rPr>
            </w:pPr>
            <w:r>
              <w:rPr>
                <w:rFonts w:hint="eastAsia" w:ascii="宋体" w:hAnsi="宋体"/>
                <w:b/>
                <w:color w:val="000000"/>
                <w:sz w:val="24"/>
                <w:szCs w:val="24"/>
              </w:rPr>
              <w:t>1</w:t>
            </w:r>
          </w:p>
        </w:tc>
        <w:tc>
          <w:tcPr>
            <w:tcW w:w="1767" w:type="pct"/>
            <w:gridSpan w:val="3"/>
            <w:shd w:val="clear" w:color="auto" w:fill="FFFFFF"/>
            <w:noWrap w:val="0"/>
            <w:vAlign w:val="center"/>
          </w:tcPr>
          <w:p w14:paraId="7717A5C4">
            <w:pPr>
              <w:pStyle w:val="360"/>
              <w:spacing w:line="440" w:lineRule="exact"/>
              <w:jc w:val="center"/>
              <w:rPr>
                <w:rFonts w:ascii="宋体" w:hAnsi="宋体"/>
                <w:b/>
                <w:color w:val="000000"/>
                <w:sz w:val="24"/>
                <w:szCs w:val="24"/>
              </w:rPr>
            </w:pPr>
          </w:p>
        </w:tc>
        <w:tc>
          <w:tcPr>
            <w:tcW w:w="621" w:type="pct"/>
            <w:gridSpan w:val="2"/>
            <w:shd w:val="clear" w:color="auto" w:fill="FFFFFF"/>
            <w:noWrap w:val="0"/>
            <w:vAlign w:val="center"/>
          </w:tcPr>
          <w:p w14:paraId="617D9BD6">
            <w:pPr>
              <w:pStyle w:val="360"/>
              <w:spacing w:line="440" w:lineRule="exact"/>
              <w:jc w:val="center"/>
              <w:rPr>
                <w:rFonts w:ascii="宋体" w:hAnsi="宋体"/>
                <w:b/>
                <w:color w:val="000000"/>
                <w:sz w:val="24"/>
                <w:szCs w:val="24"/>
              </w:rPr>
            </w:pPr>
          </w:p>
        </w:tc>
        <w:tc>
          <w:tcPr>
            <w:tcW w:w="584" w:type="pct"/>
            <w:shd w:val="clear" w:color="auto" w:fill="FFFFFF"/>
            <w:noWrap w:val="0"/>
            <w:vAlign w:val="center"/>
          </w:tcPr>
          <w:p w14:paraId="1025FC72">
            <w:pPr>
              <w:pStyle w:val="360"/>
              <w:spacing w:line="440" w:lineRule="exact"/>
              <w:jc w:val="center"/>
              <w:rPr>
                <w:rFonts w:ascii="宋体" w:hAnsi="宋体"/>
                <w:b/>
                <w:color w:val="000000"/>
                <w:sz w:val="24"/>
                <w:szCs w:val="24"/>
              </w:rPr>
            </w:pPr>
          </w:p>
        </w:tc>
        <w:tc>
          <w:tcPr>
            <w:tcW w:w="656" w:type="pct"/>
            <w:gridSpan w:val="2"/>
            <w:shd w:val="clear" w:color="auto" w:fill="FFFFFF"/>
            <w:noWrap w:val="0"/>
            <w:vAlign w:val="center"/>
          </w:tcPr>
          <w:p w14:paraId="003A8BC9">
            <w:pPr>
              <w:pStyle w:val="360"/>
              <w:spacing w:line="440" w:lineRule="exact"/>
              <w:jc w:val="center"/>
              <w:rPr>
                <w:rFonts w:ascii="宋体" w:hAnsi="宋体"/>
                <w:b/>
                <w:color w:val="000000"/>
                <w:sz w:val="24"/>
                <w:szCs w:val="24"/>
              </w:rPr>
            </w:pPr>
          </w:p>
        </w:tc>
        <w:tc>
          <w:tcPr>
            <w:tcW w:w="755" w:type="pct"/>
            <w:shd w:val="clear" w:color="auto" w:fill="FFFFFF"/>
            <w:noWrap w:val="0"/>
            <w:vAlign w:val="center"/>
          </w:tcPr>
          <w:p w14:paraId="75B7CF9B">
            <w:pPr>
              <w:pStyle w:val="360"/>
              <w:spacing w:line="440" w:lineRule="exact"/>
              <w:jc w:val="center"/>
              <w:rPr>
                <w:rFonts w:ascii="宋体" w:hAnsi="宋体"/>
                <w:b/>
                <w:color w:val="000000"/>
                <w:sz w:val="24"/>
                <w:szCs w:val="24"/>
              </w:rPr>
            </w:pPr>
          </w:p>
        </w:tc>
      </w:tr>
      <w:tr w14:paraId="29F7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12" w:type="pct"/>
            <w:shd w:val="clear" w:color="auto" w:fill="FFFFFF"/>
            <w:noWrap w:val="0"/>
            <w:vAlign w:val="center"/>
          </w:tcPr>
          <w:p w14:paraId="734A221F">
            <w:pPr>
              <w:pStyle w:val="360"/>
              <w:spacing w:line="440" w:lineRule="exact"/>
              <w:jc w:val="center"/>
              <w:rPr>
                <w:rFonts w:ascii="宋体" w:hAnsi="宋体"/>
                <w:b/>
                <w:color w:val="000000"/>
                <w:sz w:val="24"/>
                <w:szCs w:val="24"/>
              </w:rPr>
            </w:pPr>
            <w:r>
              <w:rPr>
                <w:rFonts w:hint="eastAsia" w:ascii="宋体" w:hAnsi="宋体"/>
                <w:b/>
                <w:color w:val="000000"/>
                <w:sz w:val="24"/>
                <w:szCs w:val="24"/>
              </w:rPr>
              <w:t>2</w:t>
            </w:r>
          </w:p>
        </w:tc>
        <w:tc>
          <w:tcPr>
            <w:tcW w:w="1767" w:type="pct"/>
            <w:gridSpan w:val="3"/>
            <w:shd w:val="clear" w:color="auto" w:fill="FFFFFF"/>
            <w:noWrap w:val="0"/>
            <w:vAlign w:val="center"/>
          </w:tcPr>
          <w:p w14:paraId="76E7EF03">
            <w:pPr>
              <w:pStyle w:val="360"/>
              <w:spacing w:line="440" w:lineRule="exact"/>
              <w:jc w:val="center"/>
              <w:rPr>
                <w:rFonts w:ascii="宋体" w:hAnsi="宋体"/>
                <w:b/>
                <w:color w:val="000000"/>
                <w:sz w:val="24"/>
                <w:szCs w:val="24"/>
              </w:rPr>
            </w:pPr>
          </w:p>
        </w:tc>
        <w:tc>
          <w:tcPr>
            <w:tcW w:w="621" w:type="pct"/>
            <w:gridSpan w:val="2"/>
            <w:shd w:val="clear" w:color="auto" w:fill="FFFFFF"/>
            <w:noWrap w:val="0"/>
            <w:vAlign w:val="center"/>
          </w:tcPr>
          <w:p w14:paraId="0C40259A">
            <w:pPr>
              <w:pStyle w:val="360"/>
              <w:spacing w:line="440" w:lineRule="exact"/>
              <w:jc w:val="center"/>
              <w:rPr>
                <w:rFonts w:ascii="宋体" w:hAnsi="宋体"/>
                <w:b/>
                <w:color w:val="000000"/>
                <w:sz w:val="24"/>
                <w:szCs w:val="24"/>
              </w:rPr>
            </w:pPr>
          </w:p>
        </w:tc>
        <w:tc>
          <w:tcPr>
            <w:tcW w:w="584" w:type="pct"/>
            <w:shd w:val="clear" w:color="auto" w:fill="FFFFFF"/>
            <w:noWrap w:val="0"/>
            <w:vAlign w:val="center"/>
          </w:tcPr>
          <w:p w14:paraId="7175B8A8">
            <w:pPr>
              <w:pStyle w:val="360"/>
              <w:spacing w:line="440" w:lineRule="exact"/>
              <w:jc w:val="center"/>
              <w:rPr>
                <w:rFonts w:ascii="宋体" w:hAnsi="宋体"/>
                <w:b/>
                <w:color w:val="000000"/>
                <w:sz w:val="24"/>
                <w:szCs w:val="24"/>
              </w:rPr>
            </w:pPr>
          </w:p>
        </w:tc>
        <w:tc>
          <w:tcPr>
            <w:tcW w:w="656" w:type="pct"/>
            <w:gridSpan w:val="2"/>
            <w:shd w:val="clear" w:color="auto" w:fill="FFFFFF"/>
            <w:noWrap w:val="0"/>
            <w:vAlign w:val="center"/>
          </w:tcPr>
          <w:p w14:paraId="3971F821">
            <w:pPr>
              <w:pStyle w:val="360"/>
              <w:spacing w:line="440" w:lineRule="exact"/>
              <w:jc w:val="center"/>
              <w:rPr>
                <w:rFonts w:ascii="宋体" w:hAnsi="宋体"/>
                <w:b/>
                <w:color w:val="000000"/>
                <w:sz w:val="24"/>
                <w:szCs w:val="24"/>
              </w:rPr>
            </w:pPr>
          </w:p>
        </w:tc>
        <w:tc>
          <w:tcPr>
            <w:tcW w:w="755" w:type="pct"/>
            <w:shd w:val="clear" w:color="auto" w:fill="FFFFFF"/>
            <w:noWrap w:val="0"/>
            <w:vAlign w:val="center"/>
          </w:tcPr>
          <w:p w14:paraId="445D1947">
            <w:pPr>
              <w:pStyle w:val="360"/>
              <w:spacing w:line="440" w:lineRule="exact"/>
              <w:jc w:val="center"/>
              <w:rPr>
                <w:rFonts w:ascii="宋体" w:hAnsi="宋体"/>
                <w:b/>
                <w:color w:val="000000"/>
                <w:sz w:val="24"/>
                <w:szCs w:val="24"/>
              </w:rPr>
            </w:pPr>
          </w:p>
        </w:tc>
      </w:tr>
      <w:tr w14:paraId="2DC2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12" w:type="pct"/>
            <w:shd w:val="clear" w:color="auto" w:fill="FFFFFF"/>
            <w:noWrap w:val="0"/>
            <w:vAlign w:val="center"/>
          </w:tcPr>
          <w:p w14:paraId="320F9BC0">
            <w:pPr>
              <w:pStyle w:val="360"/>
              <w:spacing w:line="440" w:lineRule="exact"/>
              <w:jc w:val="center"/>
              <w:rPr>
                <w:rFonts w:ascii="宋体" w:hAnsi="宋体"/>
                <w:b/>
                <w:color w:val="000000"/>
                <w:sz w:val="24"/>
                <w:szCs w:val="24"/>
              </w:rPr>
            </w:pPr>
            <w:r>
              <w:rPr>
                <w:rFonts w:hint="eastAsia" w:ascii="宋体" w:hAnsi="宋体"/>
                <w:b/>
                <w:color w:val="000000"/>
                <w:sz w:val="24"/>
                <w:szCs w:val="24"/>
              </w:rPr>
              <w:t>3</w:t>
            </w:r>
          </w:p>
        </w:tc>
        <w:tc>
          <w:tcPr>
            <w:tcW w:w="1767" w:type="pct"/>
            <w:gridSpan w:val="3"/>
            <w:shd w:val="clear" w:color="auto" w:fill="FFFFFF"/>
            <w:noWrap w:val="0"/>
            <w:vAlign w:val="center"/>
          </w:tcPr>
          <w:p w14:paraId="0A2BEDA1">
            <w:pPr>
              <w:pStyle w:val="360"/>
              <w:spacing w:line="440" w:lineRule="exact"/>
              <w:jc w:val="center"/>
              <w:rPr>
                <w:rFonts w:ascii="宋体" w:hAnsi="宋体"/>
                <w:b/>
                <w:color w:val="000000"/>
                <w:sz w:val="24"/>
                <w:szCs w:val="24"/>
              </w:rPr>
            </w:pPr>
          </w:p>
        </w:tc>
        <w:tc>
          <w:tcPr>
            <w:tcW w:w="621" w:type="pct"/>
            <w:gridSpan w:val="2"/>
            <w:shd w:val="clear" w:color="auto" w:fill="FFFFFF"/>
            <w:noWrap w:val="0"/>
            <w:vAlign w:val="center"/>
          </w:tcPr>
          <w:p w14:paraId="7DF41FBA">
            <w:pPr>
              <w:pStyle w:val="360"/>
              <w:spacing w:line="440" w:lineRule="exact"/>
              <w:jc w:val="center"/>
              <w:rPr>
                <w:rFonts w:ascii="宋体" w:hAnsi="宋体"/>
                <w:b/>
                <w:color w:val="000000"/>
                <w:sz w:val="24"/>
                <w:szCs w:val="24"/>
              </w:rPr>
            </w:pPr>
          </w:p>
        </w:tc>
        <w:tc>
          <w:tcPr>
            <w:tcW w:w="584" w:type="pct"/>
            <w:shd w:val="clear" w:color="auto" w:fill="FFFFFF"/>
            <w:noWrap w:val="0"/>
            <w:vAlign w:val="center"/>
          </w:tcPr>
          <w:p w14:paraId="321EDEC3">
            <w:pPr>
              <w:pStyle w:val="360"/>
              <w:spacing w:line="440" w:lineRule="exact"/>
              <w:jc w:val="center"/>
              <w:rPr>
                <w:rFonts w:ascii="宋体" w:hAnsi="宋体"/>
                <w:b/>
                <w:color w:val="000000"/>
                <w:sz w:val="24"/>
                <w:szCs w:val="24"/>
              </w:rPr>
            </w:pPr>
          </w:p>
        </w:tc>
        <w:tc>
          <w:tcPr>
            <w:tcW w:w="656" w:type="pct"/>
            <w:gridSpan w:val="2"/>
            <w:shd w:val="clear" w:color="auto" w:fill="FFFFFF"/>
            <w:noWrap w:val="0"/>
            <w:vAlign w:val="center"/>
          </w:tcPr>
          <w:p w14:paraId="589E9E3D">
            <w:pPr>
              <w:pStyle w:val="360"/>
              <w:spacing w:line="440" w:lineRule="exact"/>
              <w:jc w:val="center"/>
              <w:rPr>
                <w:rFonts w:ascii="宋体" w:hAnsi="宋体"/>
                <w:b/>
                <w:color w:val="000000"/>
                <w:sz w:val="24"/>
                <w:szCs w:val="24"/>
              </w:rPr>
            </w:pPr>
          </w:p>
        </w:tc>
        <w:tc>
          <w:tcPr>
            <w:tcW w:w="755" w:type="pct"/>
            <w:shd w:val="clear" w:color="auto" w:fill="FFFFFF"/>
            <w:noWrap w:val="0"/>
            <w:vAlign w:val="center"/>
          </w:tcPr>
          <w:p w14:paraId="7D180D0B">
            <w:pPr>
              <w:pStyle w:val="360"/>
              <w:spacing w:line="440" w:lineRule="exact"/>
              <w:jc w:val="center"/>
              <w:rPr>
                <w:rFonts w:ascii="宋体" w:hAnsi="宋体"/>
                <w:b/>
                <w:color w:val="000000"/>
                <w:sz w:val="24"/>
                <w:szCs w:val="24"/>
              </w:rPr>
            </w:pPr>
          </w:p>
        </w:tc>
      </w:tr>
      <w:tr w14:paraId="0C96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12" w:type="pct"/>
            <w:tcBorders>
              <w:bottom w:val="single" w:color="auto" w:sz="4" w:space="0"/>
            </w:tcBorders>
            <w:shd w:val="clear" w:color="auto" w:fill="FFFFFF"/>
            <w:noWrap w:val="0"/>
            <w:vAlign w:val="center"/>
          </w:tcPr>
          <w:p w14:paraId="39D097B0">
            <w:pPr>
              <w:pStyle w:val="360"/>
              <w:spacing w:line="440" w:lineRule="exact"/>
              <w:jc w:val="center"/>
              <w:rPr>
                <w:rFonts w:ascii="宋体" w:hAnsi="宋体"/>
                <w:b/>
                <w:color w:val="000000"/>
                <w:sz w:val="24"/>
                <w:szCs w:val="24"/>
              </w:rPr>
            </w:pPr>
            <w:r>
              <w:rPr>
                <w:rFonts w:ascii="宋体" w:hAnsi="宋体"/>
                <w:b/>
                <w:color w:val="000000"/>
                <w:sz w:val="24"/>
                <w:szCs w:val="24"/>
              </w:rPr>
              <w:t>…</w:t>
            </w:r>
          </w:p>
        </w:tc>
        <w:tc>
          <w:tcPr>
            <w:tcW w:w="1767" w:type="pct"/>
            <w:gridSpan w:val="3"/>
            <w:tcBorders>
              <w:bottom w:val="single" w:color="auto" w:sz="4" w:space="0"/>
            </w:tcBorders>
            <w:shd w:val="clear" w:color="auto" w:fill="FFFFFF"/>
            <w:noWrap w:val="0"/>
            <w:vAlign w:val="center"/>
          </w:tcPr>
          <w:p w14:paraId="6572093C">
            <w:pPr>
              <w:pStyle w:val="360"/>
              <w:spacing w:line="440" w:lineRule="exact"/>
              <w:jc w:val="center"/>
              <w:rPr>
                <w:rFonts w:ascii="宋体" w:hAnsi="宋体"/>
                <w:b/>
                <w:color w:val="000000"/>
                <w:sz w:val="24"/>
                <w:szCs w:val="24"/>
              </w:rPr>
            </w:pPr>
          </w:p>
        </w:tc>
        <w:tc>
          <w:tcPr>
            <w:tcW w:w="621" w:type="pct"/>
            <w:gridSpan w:val="2"/>
            <w:tcBorders>
              <w:bottom w:val="single" w:color="auto" w:sz="4" w:space="0"/>
            </w:tcBorders>
            <w:shd w:val="clear" w:color="auto" w:fill="FFFFFF"/>
            <w:noWrap w:val="0"/>
            <w:vAlign w:val="center"/>
          </w:tcPr>
          <w:p w14:paraId="38EC400A">
            <w:pPr>
              <w:pStyle w:val="360"/>
              <w:spacing w:line="440" w:lineRule="exact"/>
              <w:jc w:val="center"/>
              <w:rPr>
                <w:rFonts w:ascii="宋体" w:hAnsi="宋体"/>
                <w:b/>
                <w:color w:val="000000"/>
                <w:sz w:val="24"/>
                <w:szCs w:val="24"/>
              </w:rPr>
            </w:pPr>
          </w:p>
        </w:tc>
        <w:tc>
          <w:tcPr>
            <w:tcW w:w="584" w:type="pct"/>
            <w:tcBorders>
              <w:bottom w:val="single" w:color="auto" w:sz="4" w:space="0"/>
            </w:tcBorders>
            <w:shd w:val="clear" w:color="auto" w:fill="FFFFFF"/>
            <w:noWrap w:val="0"/>
            <w:vAlign w:val="center"/>
          </w:tcPr>
          <w:p w14:paraId="1A3D8432">
            <w:pPr>
              <w:pStyle w:val="360"/>
              <w:spacing w:line="440" w:lineRule="exact"/>
              <w:jc w:val="center"/>
              <w:rPr>
                <w:rFonts w:ascii="宋体" w:hAnsi="宋体"/>
                <w:b/>
                <w:color w:val="000000"/>
                <w:sz w:val="24"/>
                <w:szCs w:val="24"/>
              </w:rPr>
            </w:pPr>
          </w:p>
        </w:tc>
        <w:tc>
          <w:tcPr>
            <w:tcW w:w="656" w:type="pct"/>
            <w:gridSpan w:val="2"/>
            <w:tcBorders>
              <w:bottom w:val="single" w:color="auto" w:sz="4" w:space="0"/>
            </w:tcBorders>
            <w:shd w:val="clear" w:color="auto" w:fill="FFFFFF"/>
            <w:noWrap w:val="0"/>
            <w:vAlign w:val="center"/>
          </w:tcPr>
          <w:p w14:paraId="3DA34234">
            <w:pPr>
              <w:pStyle w:val="360"/>
              <w:spacing w:line="440" w:lineRule="exact"/>
              <w:jc w:val="center"/>
              <w:rPr>
                <w:rFonts w:ascii="宋体" w:hAnsi="宋体"/>
                <w:b/>
                <w:color w:val="000000"/>
                <w:sz w:val="24"/>
                <w:szCs w:val="24"/>
              </w:rPr>
            </w:pPr>
          </w:p>
        </w:tc>
        <w:tc>
          <w:tcPr>
            <w:tcW w:w="755" w:type="pct"/>
            <w:tcBorders>
              <w:bottom w:val="single" w:color="auto" w:sz="4" w:space="0"/>
            </w:tcBorders>
            <w:shd w:val="clear" w:color="auto" w:fill="FFFFFF"/>
            <w:noWrap w:val="0"/>
            <w:vAlign w:val="center"/>
          </w:tcPr>
          <w:p w14:paraId="6ECA57CD">
            <w:pPr>
              <w:pStyle w:val="360"/>
              <w:spacing w:line="440" w:lineRule="exact"/>
              <w:jc w:val="center"/>
              <w:rPr>
                <w:rFonts w:ascii="宋体" w:hAnsi="宋体"/>
                <w:b/>
                <w:color w:val="000000"/>
                <w:sz w:val="24"/>
                <w:szCs w:val="24"/>
              </w:rPr>
            </w:pPr>
          </w:p>
        </w:tc>
      </w:tr>
      <w:tr w14:paraId="0C90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12" w:type="pct"/>
            <w:shd w:val="clear" w:color="auto" w:fill="BFBFBF"/>
            <w:noWrap w:val="0"/>
            <w:vAlign w:val="center"/>
          </w:tcPr>
          <w:p w14:paraId="6302FBD5">
            <w:pPr>
              <w:pStyle w:val="360"/>
              <w:spacing w:line="440" w:lineRule="exact"/>
              <w:jc w:val="center"/>
              <w:rPr>
                <w:rFonts w:ascii="宋体" w:hAnsi="宋体"/>
                <w:b/>
                <w:color w:val="000000"/>
                <w:sz w:val="24"/>
                <w:szCs w:val="24"/>
              </w:rPr>
            </w:pPr>
            <w:r>
              <w:rPr>
                <w:rFonts w:hint="eastAsia" w:ascii="宋体" w:hAnsi="宋体"/>
                <w:b/>
                <w:color w:val="000000"/>
                <w:sz w:val="24"/>
                <w:szCs w:val="24"/>
              </w:rPr>
              <w:t>五</w:t>
            </w:r>
          </w:p>
        </w:tc>
        <w:tc>
          <w:tcPr>
            <w:tcW w:w="4387" w:type="pct"/>
            <w:gridSpan w:val="9"/>
            <w:shd w:val="clear" w:color="auto" w:fill="BFBFBF"/>
            <w:noWrap w:val="0"/>
            <w:vAlign w:val="center"/>
          </w:tcPr>
          <w:p w14:paraId="583230F3">
            <w:pPr>
              <w:pStyle w:val="360"/>
              <w:spacing w:line="440" w:lineRule="exact"/>
              <w:jc w:val="center"/>
              <w:rPr>
                <w:rFonts w:ascii="宋体" w:hAnsi="宋体"/>
                <w:b/>
                <w:color w:val="000000"/>
                <w:sz w:val="24"/>
                <w:szCs w:val="24"/>
              </w:rPr>
            </w:pPr>
            <w:r>
              <w:rPr>
                <w:rFonts w:hint="eastAsia" w:ascii="宋体" w:hAnsi="宋体"/>
                <w:b/>
                <w:color w:val="000000"/>
                <w:sz w:val="24"/>
                <w:szCs w:val="24"/>
              </w:rPr>
              <w:t>提供本项目服务所必须的专业技术能力</w:t>
            </w:r>
          </w:p>
        </w:tc>
      </w:tr>
      <w:tr w14:paraId="449C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5000" w:type="pct"/>
            <w:gridSpan w:val="10"/>
            <w:shd w:val="clear" w:color="auto" w:fill="FFFFFF"/>
            <w:noWrap w:val="0"/>
            <w:vAlign w:val="center"/>
          </w:tcPr>
          <w:p w14:paraId="4E07100E">
            <w:pPr>
              <w:pStyle w:val="360"/>
              <w:spacing w:line="440" w:lineRule="exact"/>
              <w:jc w:val="center"/>
              <w:rPr>
                <w:rFonts w:ascii="宋体" w:hAnsi="宋体"/>
                <w:b/>
                <w:color w:val="000000"/>
                <w:sz w:val="24"/>
                <w:szCs w:val="24"/>
              </w:rPr>
            </w:pPr>
          </w:p>
        </w:tc>
      </w:tr>
    </w:tbl>
    <w:p w14:paraId="618F1B52">
      <w:pPr>
        <w:pStyle w:val="360"/>
        <w:widowControl/>
        <w:spacing w:line="440" w:lineRule="exact"/>
        <w:jc w:val="left"/>
        <w:rPr>
          <w:rFonts w:ascii="宋体" w:hAnsi="宋体"/>
          <w:b/>
          <w:bCs/>
          <w:color w:val="000000"/>
          <w:sz w:val="24"/>
          <w:szCs w:val="24"/>
        </w:rPr>
      </w:pPr>
    </w:p>
    <w:p w14:paraId="6BFD7237">
      <w:pPr>
        <w:pStyle w:val="360"/>
        <w:spacing w:line="440" w:lineRule="exact"/>
        <w:rPr>
          <w:rFonts w:ascii="宋体" w:hAnsi="宋体"/>
          <w:color w:val="000000"/>
          <w:sz w:val="24"/>
          <w:szCs w:val="24"/>
          <w:u w:val="single"/>
        </w:rPr>
      </w:pPr>
      <w:r>
        <w:rPr>
          <w:rFonts w:hint="eastAsia" w:ascii="宋体" w:hAnsi="宋体"/>
          <w:color w:val="000000"/>
          <w:sz w:val="24"/>
          <w:szCs w:val="24"/>
        </w:rPr>
        <w:t>注：1、</w:t>
      </w:r>
      <w:r>
        <w:rPr>
          <w:rFonts w:hint="eastAsia" w:ascii="宋体" w:hAnsi="宋体"/>
          <w:color w:val="000000"/>
          <w:sz w:val="24"/>
          <w:szCs w:val="24"/>
          <w:u w:val="single"/>
        </w:rPr>
        <w:t>如行数不够请自行添加。</w:t>
      </w:r>
    </w:p>
    <w:p w14:paraId="3C6AF5A6">
      <w:pPr>
        <w:spacing w:line="440" w:lineRule="exact"/>
        <w:jc w:val="center"/>
        <w:rPr>
          <w:rFonts w:ascii="宋体" w:hAnsi="宋体" w:cs="仿宋"/>
          <w:b/>
          <w:bCs/>
          <w:sz w:val="24"/>
          <w:szCs w:val="24"/>
        </w:rPr>
      </w:pPr>
      <w:r>
        <w:rPr>
          <w:rFonts w:hint="eastAsia" w:ascii="宋体" w:hAnsi="宋体" w:cs="仿宋"/>
          <w:b/>
          <w:bCs/>
          <w:sz w:val="24"/>
          <w:szCs w:val="24"/>
        </w:rPr>
        <w:br w:type="page"/>
      </w:r>
      <w:r>
        <w:rPr>
          <w:rFonts w:hint="eastAsia" w:ascii="宋体" w:hAnsi="宋体" w:cs="仿宋"/>
          <w:b/>
          <w:bCs/>
          <w:sz w:val="32"/>
          <w:szCs w:val="32"/>
        </w:rPr>
        <w:t>质疑函范本</w:t>
      </w:r>
    </w:p>
    <w:p w14:paraId="7CBD6D3F">
      <w:pPr>
        <w:spacing w:before="290" w:line="440" w:lineRule="exact"/>
        <w:rPr>
          <w:rFonts w:ascii="宋体" w:hAnsi="宋体" w:cs="仿宋"/>
          <w:bCs/>
          <w:sz w:val="24"/>
          <w:szCs w:val="24"/>
        </w:rPr>
      </w:pPr>
      <w:r>
        <w:rPr>
          <w:rFonts w:hint="eastAsia" w:ascii="宋体" w:hAnsi="宋体" w:cs="仿宋"/>
          <w:bCs/>
          <w:sz w:val="24"/>
          <w:szCs w:val="24"/>
        </w:rPr>
        <w:t>一、质疑供应商基本信息</w:t>
      </w:r>
    </w:p>
    <w:p w14:paraId="3FCFE7EF">
      <w:pPr>
        <w:spacing w:line="440" w:lineRule="exact"/>
        <w:rPr>
          <w:rFonts w:ascii="宋体" w:hAnsi="宋体" w:cs="仿宋"/>
          <w:sz w:val="24"/>
          <w:szCs w:val="24"/>
          <w:u w:val="single"/>
        </w:rPr>
      </w:pPr>
      <w:r>
        <w:rPr>
          <w:rFonts w:hint="eastAsia" w:ascii="宋体" w:hAnsi="宋体" w:cs="仿宋"/>
          <w:sz w:val="24"/>
          <w:szCs w:val="24"/>
        </w:rPr>
        <w:t>质疑供应商：</w:t>
      </w:r>
      <w:r>
        <w:rPr>
          <w:rFonts w:hint="eastAsia" w:ascii="宋体" w:hAnsi="宋体" w:cs="仿宋"/>
          <w:sz w:val="24"/>
          <w:szCs w:val="24"/>
          <w:u w:val="single"/>
        </w:rPr>
        <w:t xml:space="preserve">                                                              </w:t>
      </w:r>
    </w:p>
    <w:p w14:paraId="3EABA5C6">
      <w:pPr>
        <w:spacing w:line="440" w:lineRule="exact"/>
        <w:rPr>
          <w:rFonts w:ascii="宋体" w:hAnsi="宋体" w:cs="仿宋"/>
          <w:sz w:val="24"/>
          <w:szCs w:val="24"/>
        </w:rPr>
      </w:pPr>
      <w:r>
        <w:rPr>
          <w:rFonts w:hint="eastAsia" w:ascii="宋体" w:hAnsi="宋体" w:cs="仿宋"/>
          <w:sz w:val="24"/>
          <w:szCs w:val="24"/>
        </w:rPr>
        <w:t>地址：</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14:paraId="7618AC88">
      <w:pPr>
        <w:spacing w:line="440" w:lineRule="exact"/>
        <w:rPr>
          <w:rFonts w:ascii="宋体" w:hAnsi="宋体" w:cs="仿宋"/>
          <w:sz w:val="24"/>
          <w:szCs w:val="24"/>
        </w:rPr>
      </w:pPr>
      <w:r>
        <w:rPr>
          <w:rFonts w:hint="eastAsia" w:ascii="宋体" w:hAnsi="宋体" w:cs="仿宋"/>
          <w:sz w:val="24"/>
          <w:szCs w:val="24"/>
        </w:rPr>
        <w:t>联系人：</w:t>
      </w:r>
      <w:r>
        <w:rPr>
          <w:rFonts w:hint="eastAsia" w:ascii="宋体" w:hAnsi="宋体" w:cs="仿宋"/>
          <w:sz w:val="24"/>
          <w:szCs w:val="24"/>
          <w:u w:val="single"/>
        </w:rPr>
        <w:t xml:space="preserve">                      </w:t>
      </w:r>
      <w:r>
        <w:rPr>
          <w:rFonts w:hint="eastAsia" w:ascii="宋体" w:hAnsi="宋体" w:cs="仿宋"/>
          <w:sz w:val="24"/>
          <w:szCs w:val="24"/>
        </w:rPr>
        <w:t>联系电话：</w:t>
      </w:r>
      <w:r>
        <w:rPr>
          <w:rFonts w:hint="eastAsia" w:ascii="宋体" w:hAnsi="宋体" w:cs="仿宋"/>
          <w:sz w:val="24"/>
          <w:szCs w:val="24"/>
          <w:u w:val="single"/>
        </w:rPr>
        <w:t xml:space="preserve">                                       </w:t>
      </w:r>
    </w:p>
    <w:p w14:paraId="0B25511F">
      <w:pPr>
        <w:spacing w:line="440" w:lineRule="exact"/>
        <w:rPr>
          <w:rFonts w:ascii="宋体" w:hAnsi="宋体" w:cs="仿宋"/>
          <w:sz w:val="24"/>
          <w:szCs w:val="24"/>
          <w:u w:val="single"/>
        </w:rPr>
      </w:pPr>
      <w:r>
        <w:rPr>
          <w:rFonts w:hint="eastAsia" w:ascii="宋体" w:hAnsi="宋体" w:cs="仿宋"/>
          <w:sz w:val="24"/>
          <w:szCs w:val="24"/>
        </w:rPr>
        <w:t>授权代表：</w:t>
      </w:r>
      <w:r>
        <w:rPr>
          <w:rFonts w:hint="eastAsia" w:ascii="宋体" w:hAnsi="宋体" w:cs="仿宋"/>
          <w:sz w:val="24"/>
          <w:szCs w:val="24"/>
          <w:u w:val="single"/>
        </w:rPr>
        <w:t xml:space="preserve">                                                                 </w:t>
      </w:r>
    </w:p>
    <w:p w14:paraId="499DCE56">
      <w:pPr>
        <w:spacing w:line="440" w:lineRule="exact"/>
        <w:rPr>
          <w:rFonts w:ascii="宋体" w:hAnsi="宋体" w:cs="仿宋"/>
          <w:sz w:val="24"/>
          <w:szCs w:val="24"/>
        </w:rPr>
      </w:pPr>
      <w:r>
        <w:rPr>
          <w:rFonts w:hint="eastAsia" w:ascii="宋体" w:hAnsi="宋体" w:cs="仿宋"/>
          <w:sz w:val="24"/>
          <w:szCs w:val="24"/>
        </w:rPr>
        <w:t>联系电话：</w:t>
      </w:r>
      <w:r>
        <w:rPr>
          <w:rFonts w:hint="eastAsia" w:ascii="宋体" w:hAnsi="宋体" w:cs="仿宋"/>
          <w:sz w:val="24"/>
          <w:szCs w:val="24"/>
          <w:u w:val="single"/>
        </w:rPr>
        <w:t xml:space="preserve">                                                                </w:t>
      </w:r>
    </w:p>
    <w:p w14:paraId="28688A7A">
      <w:pPr>
        <w:spacing w:line="440" w:lineRule="exact"/>
        <w:rPr>
          <w:rFonts w:ascii="宋体" w:hAnsi="宋体" w:cs="仿宋"/>
          <w:sz w:val="24"/>
          <w:szCs w:val="24"/>
        </w:rPr>
      </w:pPr>
      <w:r>
        <w:rPr>
          <w:rFonts w:hint="eastAsia" w:ascii="宋体" w:hAnsi="宋体" w:cs="仿宋"/>
          <w:sz w:val="24"/>
          <w:szCs w:val="24"/>
        </w:rPr>
        <w:t>地址：</w:t>
      </w:r>
      <w:r>
        <w:rPr>
          <w:rFonts w:ascii="宋体" w:hAnsi="宋体" w:cs="仿宋"/>
          <w:sz w:val="24"/>
          <w:szCs w:val="24"/>
        </w:rPr>
        <w:t xml:space="preserve"> </w:t>
      </w:r>
      <w:r>
        <w:rPr>
          <w:rFonts w:hint="eastAsia" w:ascii="宋体" w:hAnsi="宋体" w:cs="仿宋"/>
          <w:sz w:val="24"/>
          <w:szCs w:val="24"/>
          <w:u w:val="single"/>
        </w:rPr>
        <w:t xml:space="preserve">                        </w:t>
      </w:r>
      <w:r>
        <w:rPr>
          <w:rFonts w:hint="eastAsia" w:ascii="宋体" w:hAnsi="宋体" w:cs="仿宋"/>
          <w:sz w:val="24"/>
          <w:szCs w:val="24"/>
        </w:rPr>
        <w:t>邮编：</w:t>
      </w:r>
      <w:r>
        <w:rPr>
          <w:rFonts w:hint="eastAsia" w:ascii="宋体" w:hAnsi="宋体" w:cs="仿宋"/>
          <w:sz w:val="24"/>
          <w:szCs w:val="24"/>
          <w:u w:val="single"/>
        </w:rPr>
        <w:t xml:space="preserve">                                     </w:t>
      </w:r>
    </w:p>
    <w:p w14:paraId="3631299B">
      <w:pPr>
        <w:spacing w:line="440" w:lineRule="exact"/>
        <w:rPr>
          <w:rFonts w:ascii="宋体" w:hAnsi="宋体" w:cs="仿宋"/>
          <w:bCs/>
          <w:sz w:val="24"/>
          <w:szCs w:val="24"/>
        </w:rPr>
      </w:pPr>
      <w:r>
        <w:rPr>
          <w:rFonts w:hint="eastAsia" w:ascii="宋体" w:hAnsi="宋体" w:cs="仿宋"/>
          <w:bCs/>
          <w:sz w:val="24"/>
          <w:szCs w:val="24"/>
        </w:rPr>
        <w:t>二、质疑项目基本情况</w:t>
      </w:r>
    </w:p>
    <w:p w14:paraId="77419756">
      <w:pPr>
        <w:spacing w:line="440" w:lineRule="exact"/>
        <w:rPr>
          <w:rFonts w:ascii="宋体" w:hAnsi="宋体" w:cs="仿宋"/>
          <w:sz w:val="24"/>
          <w:szCs w:val="24"/>
        </w:rPr>
      </w:pPr>
      <w:r>
        <w:rPr>
          <w:rFonts w:hint="eastAsia" w:ascii="宋体" w:hAnsi="宋体" w:cs="仿宋"/>
          <w:sz w:val="24"/>
          <w:szCs w:val="24"/>
        </w:rPr>
        <w:t>质疑项目的名称：</w:t>
      </w:r>
      <w:r>
        <w:rPr>
          <w:rFonts w:hint="eastAsia" w:ascii="宋体" w:hAnsi="宋体" w:cs="仿宋"/>
          <w:sz w:val="24"/>
          <w:szCs w:val="24"/>
          <w:u w:val="single"/>
        </w:rPr>
        <w:t xml:space="preserve">                                                          </w:t>
      </w:r>
    </w:p>
    <w:p w14:paraId="31CD27DC">
      <w:pPr>
        <w:spacing w:line="440" w:lineRule="exact"/>
        <w:rPr>
          <w:rFonts w:ascii="宋体" w:hAnsi="宋体" w:cs="仿宋"/>
          <w:sz w:val="24"/>
          <w:szCs w:val="24"/>
        </w:rPr>
      </w:pPr>
      <w:r>
        <w:rPr>
          <w:rFonts w:hint="eastAsia" w:ascii="宋体" w:hAnsi="宋体" w:cs="仿宋"/>
          <w:sz w:val="24"/>
          <w:szCs w:val="24"/>
        </w:rPr>
        <w:t>质疑项目的编号：</w:t>
      </w:r>
      <w:r>
        <w:rPr>
          <w:rFonts w:hint="eastAsia" w:ascii="宋体" w:hAnsi="宋体" w:cs="仿宋"/>
          <w:sz w:val="24"/>
          <w:szCs w:val="24"/>
          <w:u w:val="single"/>
        </w:rPr>
        <w:t xml:space="preserve">                         </w:t>
      </w:r>
      <w:r>
        <w:rPr>
          <w:rFonts w:hint="eastAsia" w:ascii="宋体" w:hAnsi="宋体" w:cs="仿宋"/>
          <w:sz w:val="24"/>
          <w:szCs w:val="24"/>
        </w:rPr>
        <w:t>包号：</w:t>
      </w:r>
      <w:r>
        <w:rPr>
          <w:rFonts w:hint="eastAsia" w:ascii="宋体" w:hAnsi="宋体" w:cs="仿宋"/>
          <w:sz w:val="24"/>
          <w:szCs w:val="24"/>
          <w:u w:val="single"/>
        </w:rPr>
        <w:t xml:space="preserve">                           </w:t>
      </w:r>
    </w:p>
    <w:p w14:paraId="759CF664">
      <w:pPr>
        <w:spacing w:line="440" w:lineRule="exact"/>
        <w:rPr>
          <w:rFonts w:ascii="宋体" w:hAnsi="宋体" w:cs="仿宋"/>
          <w:sz w:val="24"/>
          <w:szCs w:val="24"/>
          <w:u w:val="single"/>
        </w:rPr>
      </w:pPr>
      <w:r>
        <w:rPr>
          <w:rFonts w:hint="eastAsia" w:ascii="宋体" w:hAnsi="宋体" w:cs="仿宋"/>
          <w:sz w:val="24"/>
          <w:szCs w:val="24"/>
        </w:rPr>
        <w:t>采购人名称：</w:t>
      </w:r>
      <w:r>
        <w:rPr>
          <w:rFonts w:hint="eastAsia" w:ascii="宋体" w:hAnsi="宋体" w:cs="仿宋"/>
          <w:sz w:val="24"/>
          <w:szCs w:val="24"/>
          <w:u w:val="single"/>
        </w:rPr>
        <w:t xml:space="preserve">                                                              </w:t>
      </w:r>
    </w:p>
    <w:p w14:paraId="6ECDFBFF">
      <w:pPr>
        <w:spacing w:line="440" w:lineRule="exact"/>
        <w:rPr>
          <w:rFonts w:ascii="宋体" w:hAnsi="宋体" w:cs="仿宋"/>
          <w:sz w:val="24"/>
          <w:szCs w:val="24"/>
        </w:rPr>
      </w:pPr>
      <w:r>
        <w:rPr>
          <w:rFonts w:hint="eastAsia" w:ascii="宋体" w:hAnsi="宋体" w:cs="仿宋"/>
          <w:sz w:val="24"/>
          <w:szCs w:val="24"/>
        </w:rPr>
        <w:t>采购文件获取日期：</w:t>
      </w:r>
      <w:r>
        <w:rPr>
          <w:rFonts w:hint="eastAsia" w:ascii="宋体" w:hAnsi="宋体" w:cs="仿宋"/>
          <w:sz w:val="24"/>
          <w:szCs w:val="24"/>
          <w:u w:val="single"/>
        </w:rPr>
        <w:t xml:space="preserve">                                                        </w:t>
      </w:r>
    </w:p>
    <w:p w14:paraId="3AFDF02C">
      <w:pPr>
        <w:spacing w:line="440" w:lineRule="exact"/>
        <w:rPr>
          <w:rFonts w:ascii="宋体" w:hAnsi="宋体" w:cs="仿宋"/>
          <w:bCs/>
          <w:sz w:val="24"/>
          <w:szCs w:val="24"/>
        </w:rPr>
      </w:pPr>
      <w:r>
        <w:rPr>
          <w:rFonts w:hint="eastAsia" w:ascii="宋体" w:hAnsi="宋体" w:cs="仿宋"/>
          <w:bCs/>
          <w:sz w:val="24"/>
          <w:szCs w:val="24"/>
        </w:rPr>
        <w:t>三、质疑事项具体内容</w:t>
      </w:r>
    </w:p>
    <w:p w14:paraId="09203609">
      <w:pPr>
        <w:spacing w:line="440" w:lineRule="exact"/>
        <w:rPr>
          <w:rFonts w:ascii="宋体" w:hAnsi="宋体" w:cs="仿宋"/>
          <w:sz w:val="24"/>
          <w:szCs w:val="24"/>
          <w:u w:val="single"/>
        </w:rPr>
      </w:pPr>
      <w:r>
        <w:rPr>
          <w:rFonts w:hint="eastAsia" w:ascii="宋体" w:hAnsi="宋体" w:cs="仿宋"/>
          <w:sz w:val="24"/>
          <w:szCs w:val="24"/>
        </w:rPr>
        <w:t>质疑事项1：</w:t>
      </w:r>
      <w:r>
        <w:rPr>
          <w:rFonts w:hint="eastAsia" w:ascii="宋体" w:hAnsi="宋体" w:cs="仿宋"/>
          <w:sz w:val="24"/>
          <w:szCs w:val="24"/>
          <w:u w:val="single"/>
        </w:rPr>
        <w:t xml:space="preserve">                                                              </w:t>
      </w:r>
    </w:p>
    <w:p w14:paraId="3B9F4C11">
      <w:pPr>
        <w:spacing w:line="440" w:lineRule="exact"/>
        <w:rPr>
          <w:rFonts w:ascii="宋体" w:hAnsi="宋体" w:cs="仿宋"/>
          <w:sz w:val="24"/>
          <w:szCs w:val="24"/>
          <w:u w:val="single"/>
        </w:rPr>
      </w:pPr>
      <w:r>
        <w:rPr>
          <w:rFonts w:hint="eastAsia" w:ascii="宋体" w:hAnsi="宋体" w:cs="仿宋"/>
          <w:sz w:val="24"/>
          <w:szCs w:val="24"/>
        </w:rPr>
        <w:t>事实依据：</w:t>
      </w:r>
      <w:r>
        <w:rPr>
          <w:rFonts w:hint="eastAsia" w:ascii="宋体" w:hAnsi="宋体" w:cs="仿宋"/>
          <w:sz w:val="24"/>
          <w:szCs w:val="24"/>
          <w:u w:val="single"/>
        </w:rPr>
        <w:t xml:space="preserve">                                                                </w:t>
      </w:r>
    </w:p>
    <w:p w14:paraId="3CE7EC41">
      <w:pPr>
        <w:spacing w:line="440" w:lineRule="exact"/>
        <w:rPr>
          <w:rFonts w:ascii="宋体" w:hAnsi="宋体" w:cs="仿宋"/>
          <w:sz w:val="24"/>
          <w:szCs w:val="24"/>
        </w:rPr>
      </w:pPr>
      <w:r>
        <w:rPr>
          <w:rFonts w:hint="eastAsia" w:ascii="宋体" w:hAnsi="宋体" w:cs="仿宋"/>
          <w:sz w:val="24"/>
          <w:szCs w:val="24"/>
          <w:u w:val="single"/>
        </w:rPr>
        <w:t xml:space="preserve">                                                                           </w:t>
      </w:r>
    </w:p>
    <w:p w14:paraId="200699A8">
      <w:pPr>
        <w:spacing w:line="440" w:lineRule="exact"/>
        <w:rPr>
          <w:rFonts w:ascii="宋体" w:hAnsi="宋体" w:cs="仿宋"/>
          <w:sz w:val="24"/>
          <w:szCs w:val="24"/>
          <w:u w:val="single"/>
        </w:rPr>
      </w:pPr>
      <w:r>
        <w:rPr>
          <w:rFonts w:hint="eastAsia" w:ascii="宋体" w:hAnsi="宋体" w:cs="仿宋"/>
          <w:sz w:val="24"/>
          <w:szCs w:val="24"/>
        </w:rPr>
        <w:t>法律依据：</w:t>
      </w:r>
      <w:r>
        <w:rPr>
          <w:rFonts w:hint="eastAsia" w:ascii="宋体" w:hAnsi="宋体" w:cs="仿宋"/>
          <w:sz w:val="24"/>
          <w:szCs w:val="24"/>
          <w:u w:val="single"/>
        </w:rPr>
        <w:t xml:space="preserve">                                                                 </w:t>
      </w:r>
    </w:p>
    <w:p w14:paraId="19C8C2DF">
      <w:pPr>
        <w:spacing w:line="440" w:lineRule="exact"/>
        <w:rPr>
          <w:rFonts w:ascii="宋体" w:hAnsi="宋体" w:cs="仿宋"/>
          <w:sz w:val="24"/>
          <w:szCs w:val="24"/>
          <w:u w:val="single"/>
        </w:rPr>
      </w:pPr>
      <w:r>
        <w:rPr>
          <w:rFonts w:hint="eastAsia" w:ascii="宋体" w:hAnsi="宋体" w:cs="仿宋"/>
          <w:sz w:val="24"/>
          <w:szCs w:val="24"/>
          <w:u w:val="single"/>
        </w:rPr>
        <w:t xml:space="preserve">                                                                           </w:t>
      </w:r>
    </w:p>
    <w:p w14:paraId="55410097">
      <w:pPr>
        <w:spacing w:line="440" w:lineRule="exact"/>
        <w:rPr>
          <w:rFonts w:ascii="宋体" w:hAnsi="宋体" w:cs="仿宋"/>
          <w:sz w:val="24"/>
          <w:szCs w:val="24"/>
          <w:u w:val="single"/>
        </w:rPr>
      </w:pPr>
      <w:r>
        <w:rPr>
          <w:rFonts w:hint="eastAsia" w:ascii="宋体" w:hAnsi="宋体" w:cs="仿宋"/>
          <w:sz w:val="24"/>
          <w:szCs w:val="24"/>
        </w:rPr>
        <w:t>质疑事项2</w:t>
      </w:r>
    </w:p>
    <w:p w14:paraId="3F3E05E1">
      <w:pPr>
        <w:spacing w:line="440" w:lineRule="exact"/>
        <w:rPr>
          <w:rFonts w:ascii="宋体" w:hAnsi="宋体" w:cs="仿宋"/>
          <w:sz w:val="24"/>
          <w:szCs w:val="24"/>
        </w:rPr>
      </w:pPr>
      <w:r>
        <w:rPr>
          <w:rFonts w:hint="eastAsia" w:ascii="宋体" w:hAnsi="宋体" w:cs="仿宋"/>
          <w:sz w:val="24"/>
          <w:szCs w:val="24"/>
        </w:rPr>
        <w:t>……</w:t>
      </w:r>
    </w:p>
    <w:p w14:paraId="3420CE9E">
      <w:pPr>
        <w:spacing w:line="440" w:lineRule="exact"/>
        <w:rPr>
          <w:rFonts w:ascii="宋体" w:hAnsi="宋体" w:cs="仿宋"/>
          <w:bCs/>
          <w:sz w:val="24"/>
          <w:szCs w:val="24"/>
        </w:rPr>
      </w:pPr>
      <w:r>
        <w:rPr>
          <w:rFonts w:hint="eastAsia" w:ascii="宋体" w:hAnsi="宋体" w:cs="仿宋"/>
          <w:bCs/>
          <w:sz w:val="24"/>
          <w:szCs w:val="24"/>
        </w:rPr>
        <w:t>四、与质疑事项相关的质疑请求</w:t>
      </w:r>
    </w:p>
    <w:p w14:paraId="43F6BD32">
      <w:pPr>
        <w:spacing w:line="440" w:lineRule="exact"/>
        <w:rPr>
          <w:rFonts w:ascii="宋体" w:hAnsi="宋体" w:cs="仿宋"/>
          <w:sz w:val="24"/>
          <w:szCs w:val="24"/>
          <w:u w:val="single"/>
        </w:rPr>
      </w:pPr>
      <w:r>
        <w:rPr>
          <w:rFonts w:hint="eastAsia" w:ascii="宋体" w:hAnsi="宋体" w:cs="仿宋"/>
          <w:sz w:val="24"/>
          <w:szCs w:val="24"/>
        </w:rPr>
        <w:t>请求：</w:t>
      </w:r>
      <w:r>
        <w:rPr>
          <w:rFonts w:hint="eastAsia" w:ascii="宋体" w:hAnsi="宋体" w:cs="仿宋"/>
          <w:sz w:val="24"/>
          <w:szCs w:val="24"/>
          <w:u w:val="single"/>
        </w:rPr>
        <w:t xml:space="preserve">                                                                     </w:t>
      </w:r>
    </w:p>
    <w:p w14:paraId="53CC864C">
      <w:pPr>
        <w:spacing w:line="440" w:lineRule="exact"/>
        <w:rPr>
          <w:rFonts w:ascii="宋体" w:hAnsi="宋体"/>
          <w:sz w:val="24"/>
          <w:szCs w:val="24"/>
        </w:rPr>
      </w:pPr>
      <w:r>
        <w:rPr>
          <w:rFonts w:hint="eastAsia" w:ascii="宋体" w:hAnsi="宋体"/>
          <w:sz w:val="24"/>
          <w:szCs w:val="24"/>
        </w:rPr>
        <w:t xml:space="preserve">签字(签章)：                   公章：                      </w:t>
      </w:r>
    </w:p>
    <w:p w14:paraId="30C359C1">
      <w:pPr>
        <w:spacing w:line="440" w:lineRule="exact"/>
        <w:rPr>
          <w:rFonts w:ascii="宋体" w:hAnsi="宋体"/>
          <w:sz w:val="24"/>
          <w:szCs w:val="24"/>
        </w:rPr>
      </w:pPr>
      <w:r>
        <w:rPr>
          <w:rFonts w:hint="eastAsia" w:ascii="宋体" w:hAnsi="宋体"/>
          <w:sz w:val="24"/>
          <w:szCs w:val="24"/>
        </w:rPr>
        <w:t xml:space="preserve">日期：    </w:t>
      </w:r>
    </w:p>
    <w:p w14:paraId="018C3FC1">
      <w:pPr>
        <w:spacing w:line="440" w:lineRule="exact"/>
        <w:rPr>
          <w:rFonts w:ascii="宋体" w:hAnsi="宋体"/>
          <w:b/>
          <w:sz w:val="24"/>
          <w:szCs w:val="24"/>
        </w:rPr>
      </w:pPr>
      <w:r>
        <w:rPr>
          <w:rFonts w:hint="eastAsia" w:ascii="宋体" w:hAnsi="宋体"/>
          <w:b/>
          <w:sz w:val="24"/>
          <w:szCs w:val="24"/>
        </w:rPr>
        <w:t>质疑函制作说明：</w:t>
      </w:r>
    </w:p>
    <w:p w14:paraId="09E3DF9F">
      <w:pPr>
        <w:widowControl/>
        <w:spacing w:line="440" w:lineRule="exact"/>
        <w:ind w:firstLine="480"/>
        <w:jc w:val="left"/>
        <w:rPr>
          <w:rFonts w:ascii="宋体" w:hAnsi="宋体"/>
          <w:sz w:val="24"/>
          <w:szCs w:val="24"/>
        </w:rPr>
      </w:pPr>
      <w:r>
        <w:rPr>
          <w:rFonts w:hint="eastAsia" w:ascii="宋体" w:hAnsi="宋体"/>
          <w:sz w:val="24"/>
          <w:szCs w:val="24"/>
        </w:rPr>
        <w:t>1.供应商提出质疑时，应提交质疑函和必要的证明材料。</w:t>
      </w:r>
    </w:p>
    <w:p w14:paraId="54B7B6FE">
      <w:pPr>
        <w:widowControl/>
        <w:spacing w:line="440" w:lineRule="exact"/>
        <w:ind w:firstLine="480"/>
        <w:jc w:val="left"/>
        <w:rPr>
          <w:rFonts w:ascii="宋体" w:hAnsi="宋体"/>
          <w:sz w:val="24"/>
          <w:szCs w:val="24"/>
        </w:rPr>
      </w:pPr>
      <w:r>
        <w:rPr>
          <w:rFonts w:hint="eastAsia" w:ascii="宋体" w:hAnsi="宋体"/>
          <w:sz w:val="24"/>
          <w:szCs w:val="24"/>
        </w:rPr>
        <w:t>2.质疑供应商若委托代理人进行质疑的，质疑函应按要求列明“授权代表”的有关内容，并在附件中提交由质疑</w:t>
      </w:r>
      <w:r>
        <w:rPr>
          <w:rFonts w:hint="eastAsia" w:ascii="宋体" w:hAnsi="宋体" w:cs="宋体"/>
          <w:sz w:val="24"/>
          <w:szCs w:val="24"/>
        </w:rPr>
        <w:t>供应商签署的授权委托书。授权委托书应载明代理人的姓名或者名称、代理事项、具体权限、期限和相关事项。</w:t>
      </w:r>
    </w:p>
    <w:p w14:paraId="65D7BA3E">
      <w:pPr>
        <w:widowControl/>
        <w:spacing w:line="440" w:lineRule="exact"/>
        <w:ind w:firstLine="480"/>
        <w:jc w:val="left"/>
        <w:rPr>
          <w:rFonts w:ascii="宋体" w:hAnsi="宋体"/>
          <w:sz w:val="24"/>
          <w:szCs w:val="24"/>
        </w:rPr>
      </w:pPr>
      <w:r>
        <w:rPr>
          <w:rFonts w:hint="eastAsia" w:ascii="宋体" w:hAnsi="宋体"/>
          <w:sz w:val="24"/>
          <w:szCs w:val="24"/>
        </w:rPr>
        <w:t>3.质疑供应商若对项目的某一分包进行质疑，质疑函中应列明具体分包号。</w:t>
      </w:r>
    </w:p>
    <w:p w14:paraId="75FF1D06">
      <w:pPr>
        <w:widowControl/>
        <w:spacing w:line="440" w:lineRule="exact"/>
        <w:ind w:firstLine="480"/>
        <w:jc w:val="left"/>
        <w:rPr>
          <w:rFonts w:ascii="宋体" w:hAnsi="宋体"/>
          <w:sz w:val="24"/>
          <w:szCs w:val="24"/>
        </w:rPr>
      </w:pPr>
      <w:r>
        <w:rPr>
          <w:rFonts w:hint="eastAsia" w:ascii="宋体" w:hAnsi="宋体"/>
          <w:sz w:val="24"/>
          <w:szCs w:val="24"/>
        </w:rPr>
        <w:t>4.质疑函的质疑事项应具体、明确，并有必要的事实依据和法律依据。</w:t>
      </w:r>
    </w:p>
    <w:p w14:paraId="0A045306">
      <w:pPr>
        <w:widowControl/>
        <w:spacing w:line="440" w:lineRule="exact"/>
        <w:ind w:firstLine="480"/>
        <w:jc w:val="left"/>
        <w:rPr>
          <w:rFonts w:ascii="宋体" w:hAnsi="宋体"/>
          <w:sz w:val="24"/>
          <w:szCs w:val="24"/>
        </w:rPr>
      </w:pPr>
      <w:r>
        <w:rPr>
          <w:rFonts w:hint="eastAsia" w:ascii="宋体" w:hAnsi="宋体"/>
          <w:sz w:val="24"/>
          <w:szCs w:val="24"/>
        </w:rPr>
        <w:t>5.质疑函的质疑请求应与质疑事项相关。</w:t>
      </w:r>
    </w:p>
    <w:p w14:paraId="7339C8FB">
      <w:pPr>
        <w:widowControl/>
        <w:spacing w:line="440" w:lineRule="exact"/>
        <w:ind w:firstLine="480"/>
        <w:jc w:val="left"/>
        <w:rPr>
          <w:rFonts w:ascii="宋体" w:hAnsi="宋体"/>
          <w:sz w:val="24"/>
          <w:szCs w:val="24"/>
        </w:rPr>
      </w:pPr>
      <w:r>
        <w:rPr>
          <w:rFonts w:hint="eastAsia" w:ascii="宋体" w:hAnsi="宋体"/>
          <w:sz w:val="24"/>
          <w:szCs w:val="24"/>
        </w:rPr>
        <w:t>6.质疑供应商为自然人的，质疑函应由本人签字；质疑供应商为法人或者其他组织的，质疑函应由法定代表人、主要负责人，或者其授权代表签字或者盖章，并加盖公章。</w:t>
      </w:r>
    </w:p>
    <w:p w14:paraId="44F67B39">
      <w:pPr>
        <w:spacing w:line="440" w:lineRule="exact"/>
        <w:ind w:firstLine="420"/>
        <w:rPr>
          <w:rFonts w:hint="eastAsia"/>
          <w:szCs w:val="21"/>
        </w:rPr>
      </w:pPr>
    </w:p>
    <w:p w14:paraId="46BDD18D">
      <w:pPr>
        <w:pStyle w:val="3"/>
        <w:spacing w:line="480" w:lineRule="exact"/>
        <w:ind w:firstLine="1540"/>
        <w:jc w:val="center"/>
        <w:rPr>
          <w:rFonts w:ascii="仿宋" w:hAnsi="仿宋" w:eastAsia="仿宋"/>
          <w:color w:val="auto"/>
          <w:sz w:val="28"/>
          <w:szCs w:val="28"/>
        </w:rPr>
      </w:pPr>
    </w:p>
    <w:p w14:paraId="2D263E4D">
      <w:pPr>
        <w:pStyle w:val="3"/>
        <w:spacing w:line="480" w:lineRule="exact"/>
        <w:ind w:left="2880"/>
        <w:outlineLvl w:val="1"/>
        <w:rPr>
          <w:rFonts w:ascii="仿宋" w:hAnsi="仿宋" w:eastAsia="仿宋"/>
          <w:b/>
          <w:bCs/>
          <w:color w:val="auto"/>
          <w:sz w:val="36"/>
          <w:szCs w:val="36"/>
        </w:rPr>
      </w:pPr>
      <w:bookmarkStart w:id="247" w:name="_Toc9400"/>
      <w:bookmarkStart w:id="248" w:name="_Toc16638"/>
      <w:bookmarkStart w:id="249" w:name="_Toc22786"/>
      <w:bookmarkStart w:id="250" w:name="_Toc3217"/>
      <w:bookmarkStart w:id="251" w:name="_Toc19293"/>
    </w:p>
    <w:p w14:paraId="563AD56A">
      <w:pPr>
        <w:pStyle w:val="3"/>
        <w:spacing w:line="480" w:lineRule="exact"/>
        <w:ind w:left="2880"/>
        <w:outlineLvl w:val="1"/>
        <w:rPr>
          <w:rFonts w:ascii="仿宋" w:hAnsi="仿宋" w:eastAsia="仿宋"/>
          <w:b/>
          <w:bCs/>
          <w:color w:val="auto"/>
          <w:sz w:val="36"/>
          <w:szCs w:val="36"/>
        </w:rPr>
      </w:pPr>
      <w:bookmarkStart w:id="252" w:name="_Toc31702"/>
      <w:bookmarkStart w:id="253" w:name="_Toc10629"/>
    </w:p>
    <w:bookmarkEnd w:id="205"/>
    <w:bookmarkEnd w:id="206"/>
    <w:bookmarkEnd w:id="207"/>
    <w:bookmarkEnd w:id="247"/>
    <w:bookmarkEnd w:id="248"/>
    <w:bookmarkEnd w:id="249"/>
    <w:bookmarkEnd w:id="250"/>
    <w:bookmarkEnd w:id="251"/>
    <w:bookmarkEnd w:id="252"/>
    <w:bookmarkEnd w:id="253"/>
    <w:p w14:paraId="2BCDF692">
      <w:pPr>
        <w:pStyle w:val="19"/>
        <w:spacing w:line="360" w:lineRule="auto"/>
        <w:ind w:firstLine="0"/>
        <w:rPr>
          <w:rFonts w:ascii="仿宋_GB2312" w:hAnsi="仿宋_GB2312" w:eastAsia="仿宋_GB2312" w:cs="仿宋_GB2312"/>
          <w:color w:val="auto"/>
          <w:sz w:val="28"/>
          <w:szCs w:val="28"/>
        </w:rPr>
      </w:pPr>
      <w:bookmarkStart w:id="254" w:name="_Toc92168050"/>
      <w:bookmarkEnd w:id="254"/>
      <w:bookmarkStart w:id="255" w:name="_Toc92252638"/>
      <w:bookmarkEnd w:id="255"/>
    </w:p>
    <w:p w14:paraId="28DD351E">
      <w:pPr>
        <w:spacing w:line="360" w:lineRule="auto"/>
        <w:ind w:firstLine="562"/>
        <w:rPr>
          <w:rFonts w:ascii="仿宋_GB2312" w:hAnsi="仿宋_GB2312" w:eastAsia="仿宋_GB2312" w:cs="仿宋_GB2312"/>
          <w:b/>
          <w:color w:val="auto"/>
          <w:sz w:val="28"/>
          <w:szCs w:val="28"/>
        </w:rPr>
      </w:pPr>
    </w:p>
    <w:p w14:paraId="6D523188">
      <w:pPr>
        <w:pStyle w:val="3"/>
        <w:spacing w:line="480" w:lineRule="exact"/>
        <w:ind w:firstLine="640"/>
        <w:rPr>
          <w:rFonts w:ascii="仿宋" w:hAnsi="仿宋" w:eastAsia="仿宋"/>
          <w:color w:val="auto"/>
          <w:sz w:val="28"/>
          <w:szCs w:val="28"/>
          <w:lang w:val="zh-CN"/>
        </w:rPr>
      </w:pPr>
    </w:p>
    <w:p w14:paraId="5CE2C9D3">
      <w:pPr>
        <w:pStyle w:val="3"/>
        <w:spacing w:line="480" w:lineRule="exact"/>
        <w:jc w:val="center"/>
        <w:rPr>
          <w:rFonts w:ascii="仿宋" w:hAnsi="仿宋" w:eastAsia="仿宋"/>
          <w:color w:val="auto"/>
          <w:sz w:val="28"/>
          <w:szCs w:val="28"/>
        </w:rPr>
      </w:pPr>
    </w:p>
    <w:p w14:paraId="1BE1A0F0">
      <w:pPr>
        <w:pStyle w:val="3"/>
        <w:spacing w:line="360" w:lineRule="auto"/>
        <w:ind w:firstLine="562"/>
        <w:rPr>
          <w:rFonts w:ascii="仿宋" w:hAnsi="仿宋" w:eastAsia="仿宋"/>
          <w:b/>
          <w:bCs/>
          <w:color w:val="auto"/>
          <w:sz w:val="28"/>
          <w:szCs w:val="28"/>
        </w:rPr>
      </w:pPr>
      <w:bookmarkStart w:id="256" w:name="_Toc662"/>
    </w:p>
    <w:p w14:paraId="59234669">
      <w:pPr>
        <w:pStyle w:val="3"/>
        <w:spacing w:line="360" w:lineRule="auto"/>
        <w:ind w:firstLine="562"/>
        <w:rPr>
          <w:rFonts w:ascii="仿宋" w:hAnsi="仿宋" w:eastAsia="仿宋"/>
          <w:b/>
          <w:bCs/>
          <w:color w:val="auto"/>
          <w:sz w:val="28"/>
          <w:szCs w:val="28"/>
        </w:rPr>
      </w:pPr>
    </w:p>
    <w:p w14:paraId="51CFB29E">
      <w:pPr>
        <w:pStyle w:val="3"/>
        <w:spacing w:line="480" w:lineRule="exact"/>
        <w:jc w:val="center"/>
        <w:rPr>
          <w:rFonts w:ascii="仿宋" w:hAnsi="仿宋" w:eastAsia="仿宋"/>
          <w:b/>
          <w:bCs/>
          <w:color w:val="auto"/>
          <w:sz w:val="28"/>
          <w:szCs w:val="28"/>
        </w:rPr>
      </w:pPr>
    </w:p>
    <w:p w14:paraId="7F8C14DB">
      <w:pPr>
        <w:pStyle w:val="3"/>
        <w:spacing w:line="480" w:lineRule="exact"/>
        <w:jc w:val="center"/>
        <w:rPr>
          <w:rFonts w:ascii="仿宋" w:hAnsi="仿宋" w:eastAsia="仿宋"/>
          <w:b/>
          <w:bCs/>
          <w:color w:val="auto"/>
          <w:sz w:val="28"/>
          <w:szCs w:val="28"/>
        </w:rPr>
      </w:pPr>
    </w:p>
    <w:p w14:paraId="39C47501">
      <w:pPr>
        <w:pStyle w:val="3"/>
        <w:spacing w:line="480" w:lineRule="exact"/>
        <w:jc w:val="center"/>
        <w:rPr>
          <w:rFonts w:ascii="仿宋" w:hAnsi="仿宋" w:eastAsia="仿宋"/>
          <w:b/>
          <w:bCs/>
          <w:color w:val="auto"/>
          <w:sz w:val="28"/>
          <w:szCs w:val="28"/>
        </w:rPr>
      </w:pPr>
    </w:p>
    <w:p w14:paraId="501AB033">
      <w:pPr>
        <w:pStyle w:val="3"/>
        <w:spacing w:line="480" w:lineRule="exact"/>
        <w:jc w:val="center"/>
        <w:rPr>
          <w:rFonts w:ascii="仿宋" w:hAnsi="仿宋" w:eastAsia="仿宋"/>
          <w:b/>
          <w:bCs/>
          <w:color w:val="auto"/>
          <w:sz w:val="28"/>
          <w:szCs w:val="28"/>
        </w:rPr>
      </w:pPr>
    </w:p>
    <w:p w14:paraId="3206DC65">
      <w:pPr>
        <w:pStyle w:val="3"/>
        <w:spacing w:line="480" w:lineRule="exact"/>
        <w:jc w:val="center"/>
        <w:rPr>
          <w:rFonts w:ascii="仿宋" w:hAnsi="仿宋" w:eastAsia="仿宋"/>
          <w:b/>
          <w:bCs/>
          <w:color w:val="auto"/>
          <w:sz w:val="28"/>
          <w:szCs w:val="28"/>
        </w:rPr>
      </w:pPr>
    </w:p>
    <w:p w14:paraId="4362573E">
      <w:pPr>
        <w:pStyle w:val="3"/>
        <w:spacing w:line="480" w:lineRule="exact"/>
        <w:jc w:val="center"/>
        <w:rPr>
          <w:rFonts w:ascii="仿宋" w:hAnsi="仿宋" w:eastAsia="仿宋"/>
          <w:b/>
          <w:bCs/>
          <w:color w:val="auto"/>
          <w:sz w:val="28"/>
          <w:szCs w:val="28"/>
        </w:rPr>
      </w:pPr>
    </w:p>
    <w:p w14:paraId="32ABABDC">
      <w:pPr>
        <w:pStyle w:val="3"/>
        <w:spacing w:line="480" w:lineRule="exact"/>
        <w:jc w:val="center"/>
        <w:rPr>
          <w:rFonts w:ascii="仿宋" w:hAnsi="仿宋" w:eastAsia="仿宋"/>
          <w:b/>
          <w:bCs/>
          <w:color w:val="auto"/>
          <w:sz w:val="28"/>
          <w:szCs w:val="28"/>
        </w:rPr>
      </w:pPr>
    </w:p>
    <w:p w14:paraId="2DA9F2FC">
      <w:pPr>
        <w:pStyle w:val="3"/>
        <w:spacing w:line="480" w:lineRule="exact"/>
        <w:jc w:val="center"/>
        <w:rPr>
          <w:rFonts w:ascii="仿宋" w:hAnsi="仿宋" w:eastAsia="仿宋"/>
          <w:b/>
          <w:bCs/>
          <w:color w:val="auto"/>
          <w:sz w:val="28"/>
          <w:szCs w:val="28"/>
        </w:rPr>
      </w:pPr>
    </w:p>
    <w:p w14:paraId="291A8663">
      <w:pPr>
        <w:pStyle w:val="3"/>
        <w:spacing w:line="480" w:lineRule="exact"/>
        <w:jc w:val="center"/>
        <w:rPr>
          <w:rFonts w:ascii="仿宋" w:hAnsi="仿宋" w:eastAsia="仿宋"/>
          <w:b/>
          <w:bCs/>
          <w:color w:val="auto"/>
          <w:sz w:val="28"/>
          <w:szCs w:val="28"/>
        </w:rPr>
      </w:pPr>
    </w:p>
    <w:p w14:paraId="336DAD7A">
      <w:pPr>
        <w:pStyle w:val="3"/>
        <w:spacing w:line="480" w:lineRule="exact"/>
        <w:jc w:val="center"/>
        <w:rPr>
          <w:rFonts w:ascii="仿宋" w:hAnsi="仿宋" w:eastAsia="仿宋"/>
          <w:b/>
          <w:bCs/>
          <w:color w:val="auto"/>
          <w:sz w:val="28"/>
          <w:szCs w:val="28"/>
        </w:rPr>
      </w:pPr>
    </w:p>
    <w:p w14:paraId="1BBE8910">
      <w:pPr>
        <w:pStyle w:val="3"/>
        <w:spacing w:line="480" w:lineRule="exact"/>
        <w:jc w:val="center"/>
        <w:rPr>
          <w:rFonts w:ascii="仿宋" w:hAnsi="仿宋" w:eastAsia="仿宋"/>
          <w:b/>
          <w:bCs/>
          <w:color w:val="auto"/>
          <w:sz w:val="28"/>
          <w:szCs w:val="28"/>
        </w:rPr>
      </w:pPr>
    </w:p>
    <w:p w14:paraId="4E8C6252">
      <w:pPr>
        <w:pStyle w:val="3"/>
        <w:spacing w:line="480" w:lineRule="exact"/>
        <w:jc w:val="center"/>
        <w:rPr>
          <w:rFonts w:ascii="仿宋" w:hAnsi="仿宋" w:eastAsia="仿宋"/>
          <w:b/>
          <w:bCs/>
          <w:color w:val="auto"/>
          <w:sz w:val="28"/>
          <w:szCs w:val="28"/>
        </w:rPr>
      </w:pPr>
    </w:p>
    <w:p w14:paraId="1CF1102F">
      <w:pPr>
        <w:pStyle w:val="3"/>
        <w:spacing w:line="480" w:lineRule="exact"/>
        <w:jc w:val="center"/>
        <w:rPr>
          <w:rFonts w:ascii="仿宋" w:hAnsi="仿宋" w:eastAsia="仿宋"/>
          <w:b/>
          <w:bCs/>
          <w:color w:val="auto"/>
          <w:sz w:val="28"/>
          <w:szCs w:val="28"/>
        </w:rPr>
      </w:pPr>
    </w:p>
    <w:bookmarkEnd w:id="256"/>
    <w:p w14:paraId="2B52BEE1">
      <w:pPr>
        <w:pStyle w:val="3"/>
        <w:spacing w:line="480" w:lineRule="exact"/>
        <w:jc w:val="center"/>
        <w:rPr>
          <w:rFonts w:hint="eastAsia" w:ascii="仿宋" w:hAnsi="仿宋" w:eastAsia="仿宋"/>
          <w:b/>
          <w:bCs/>
          <w:color w:val="auto"/>
          <w:sz w:val="28"/>
          <w:szCs w:val="28"/>
          <w:lang w:val="en-US" w:eastAsia="zh-CN"/>
        </w:rPr>
      </w:pPr>
    </w:p>
    <w:sectPr>
      <w:headerReference r:id="rId10" w:type="default"/>
      <w:footerReference r:id="rId11" w:type="default"/>
      <w:pgSz w:w="11906" w:h="16838"/>
      <w:pgMar w:top="1440" w:right="1800" w:bottom="1440" w:left="180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monospace">
    <w:altName w:val="qtquickcontrols"/>
    <w:panose1 w:val="020B0503020202020204"/>
    <w:charset w:val="00"/>
    <w:family w:val="auto"/>
    <w:pitch w:val="default"/>
    <w:sig w:usb0="00000000" w:usb1="00000000" w:usb2="00000000" w:usb3="00000000" w:csb0="00000000" w:csb1="00000000"/>
  </w:font>
  <w:font w:name="qtquickcontrols">
    <w:panose1 w:val="02000503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长城仿宋">
    <w:altName w:val="仿宋"/>
    <w:panose1 w:val="020B05030202020202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幼圆">
    <w:altName w:val="Yu Gothic UI"/>
    <w:panose1 w:val="02010509060101010101"/>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howcard Gothic">
    <w:altName w:val="Gabriola"/>
    <w:panose1 w:val="04020904020102020604"/>
    <w:charset w:val="00"/>
    <w:family w:val="auto"/>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华文新魏">
    <w:altName w:val="Albertus Extra Bold"/>
    <w:panose1 w:val="02010800040101010101"/>
    <w:charset w:val="00"/>
    <w:family w:val="auto"/>
    <w:pitch w:val="default"/>
    <w:sig w:usb0="00000000" w:usb1="00000000" w:usb2="00000000" w:usb3="00000000" w:csb0="00000000" w:csb1="00000000"/>
  </w:font>
  <w:font w:name="Albertus Extra Bold">
    <w:panose1 w:val="020E080204030402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1DE8">
    <w:pPr>
      <w:pStyle w:val="31"/>
      <w:tabs>
        <w:tab w:val="center" w:pos="4153"/>
        <w:tab w:val="right" w:pos="8306"/>
        <w:tab w:val="clear" w:pos="7143"/>
        <w:tab w:val="clear" w:pos="142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9D1DB">
    <w:pPr>
      <w:pStyle w:val="31"/>
      <w:tabs>
        <w:tab w:val="center" w:pos="4153"/>
        <w:tab w:val="right" w:pos="8306"/>
        <w:tab w:val="clear" w:pos="7143"/>
        <w:tab w:val="clear" w:pos="1428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62E4">
    <w:pPr>
      <w:pStyle w:val="31"/>
      <w:tabs>
        <w:tab w:val="center" w:pos="4153"/>
        <w:tab w:val="right" w:pos="8306"/>
        <w:tab w:val="clear" w:pos="7143"/>
        <w:tab w:val="clear" w:pos="14287"/>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miter/>
                      </a:ln>
                      <a:effectLst/>
                    </wps:spPr>
                    <wps:txbx>
                      <w:txbxContent>
                        <w:p w14:paraId="768CB79E">
                          <w:pPr>
                            <w:pStyle w:val="31"/>
                            <w:tabs>
                              <w:tab w:val="center" w:pos="4153"/>
                              <w:tab w:val="right" w:pos="8306"/>
                              <w:tab w:val="clear" w:pos="7143"/>
                              <w:tab w:val="clear" w:pos="14287"/>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r>
                            <w:rPr>
                              <w:rFonts w:hint="eastAsia"/>
                            </w:rPr>
                            <w:t xml:space="preserve"> 页 共 </w:t>
                          </w:r>
                          <w:r>
                            <w:rPr>
                              <w:rFonts w:hint="eastAsia"/>
                              <w:lang w:val="en-US" w:eastAsia="zh-CN"/>
                            </w:rPr>
                            <w:t>71</w:t>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lSOz2wEAAL8DAAAOAAAAAAAAAAEA&#10;IAAAAB4BAABkcnMvZTJvRG9jLnhtbFBLBQYAAAAABgAGAFkBAABrBQAAAAA=&#10;">
              <v:fill on="f" focussize="0,0"/>
              <v:stroke on="f" joinstyle="miter"/>
              <v:imagedata o:title=""/>
              <o:lock v:ext="edit" aspectratio="f"/>
              <v:textbox inset="0mm,0mm,0mm,0mm" style="mso-fit-shape-to-text:t;">
                <w:txbxContent>
                  <w:p w14:paraId="768CB79E">
                    <w:pPr>
                      <w:pStyle w:val="31"/>
                      <w:tabs>
                        <w:tab w:val="center" w:pos="4153"/>
                        <w:tab w:val="right" w:pos="8306"/>
                        <w:tab w:val="clear" w:pos="7143"/>
                        <w:tab w:val="clear" w:pos="14287"/>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r>
                      <w:rPr>
                        <w:rFonts w:hint="eastAsia"/>
                      </w:rPr>
                      <w:t xml:space="preserve"> 页 共 </w:t>
                    </w:r>
                    <w:r>
                      <w:rPr>
                        <w:rFonts w:hint="eastAsia"/>
                        <w:lang w:val="en-US" w:eastAsia="zh-CN"/>
                      </w:rPr>
                      <w:t>71</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107FA">
    <w:pPr>
      <w:pStyle w:val="31"/>
      <w:tabs>
        <w:tab w:val="center" w:pos="4153"/>
        <w:tab w:val="right" w:pos="8306"/>
        <w:tab w:val="clear" w:pos="7143"/>
        <w:tab w:val="clear" w:pos="14287"/>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miter/>
                      </a:ln>
                    </wps:spPr>
                    <wps:txbx>
                      <w:txbxContent>
                        <w:p w14:paraId="6B0F4B18">
                          <w:pPr>
                            <w:pStyle w:val="31"/>
                            <w:tabs>
                              <w:tab w:val="center" w:pos="4153"/>
                              <w:tab w:val="right" w:pos="8306"/>
                              <w:tab w:val="clear" w:pos="7143"/>
                              <w:tab w:val="clear" w:pos="14287"/>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r>
                            <w:rPr>
                              <w:rFonts w:hint="eastAsia"/>
                            </w:rPr>
                            <w:t xml:space="preserve"> 页 共 </w:t>
                          </w:r>
                          <w:r>
                            <w:rPr>
                              <w:rFonts w:hint="eastAsia"/>
                              <w:lang w:val="en-US" w:eastAsia="zh-CN"/>
                            </w:rPr>
                            <w:t>72</w:t>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&#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DWRAu+1QEAALEDAAAOAAAAAAAAAAEAIAAAAB4B&#10;AABkcnMvZTJvRG9jLnhtbFBLBQYAAAAABgAGAFkBAABlBQAAAAA=&#10;">
              <v:fill on="f" focussize="0,0"/>
              <v:stroke on="f" joinstyle="miter"/>
              <v:imagedata o:title=""/>
              <o:lock v:ext="edit" aspectratio="f"/>
              <v:textbox inset="0mm,0mm,0mm,0mm" style="mso-fit-shape-to-text:t;">
                <w:txbxContent>
                  <w:p w14:paraId="6B0F4B18">
                    <w:pPr>
                      <w:pStyle w:val="31"/>
                      <w:tabs>
                        <w:tab w:val="center" w:pos="4153"/>
                        <w:tab w:val="right" w:pos="8306"/>
                        <w:tab w:val="clear" w:pos="7143"/>
                        <w:tab w:val="clear" w:pos="14287"/>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r>
                      <w:rPr>
                        <w:rFonts w:hint="eastAsia"/>
                      </w:rPr>
                      <w:t xml:space="preserve"> 页 共 </w:t>
                    </w:r>
                    <w:r>
                      <w:rPr>
                        <w:rFonts w:hint="eastAsia"/>
                        <w:lang w:val="en-US" w:eastAsia="zh-CN"/>
                      </w:rPr>
                      <w:t>72</w:t>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3B81">
    <w:pPr>
      <w:pStyle w:val="270"/>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miter/>
                      </a:ln>
                    </wps:spPr>
                    <wps:txbx>
                      <w:txbxContent>
                        <w:p w14:paraId="438A5377">
                          <w:pPr>
                            <w:pStyle w:val="31"/>
                            <w:tabs>
                              <w:tab w:val="center" w:pos="4153"/>
                              <w:tab w:val="right" w:pos="8306"/>
                              <w:tab w:val="clear" w:pos="7143"/>
                              <w:tab w:val="clear" w:pos="14287"/>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r>
                            <w:rPr>
                              <w:rFonts w:hint="eastAsia"/>
                            </w:rPr>
                            <w:t xml:space="preserve"> 页 共 </w:t>
                          </w:r>
                          <w:r>
                            <w:rPr>
                              <w:rFonts w:hint="eastAsia"/>
                              <w:lang w:val="en-US" w:eastAsia="zh-CN"/>
                            </w:rPr>
                            <w:t>71</w:t>
                          </w:r>
                          <w:r>
                            <w:rPr>
                              <w:rFonts w:hint="eastAsia"/>
                            </w:rPr>
                            <w:t xml:space="preserve"> 页</w:t>
                          </w:r>
                        </w:p>
                        <w:p w14:paraId="39DC4237">
                          <w:pPr>
                            <w:pStyle w:val="3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DqQ4Wm1QEAALEDAAAOAAAAAAAAAAEAIAAAAB4B&#10;AABkcnMvZTJvRG9jLnhtbFBLBQYAAAAABgAGAFkBAABlBQAAAAA=&#10;">
              <v:fill on="f" focussize="0,0"/>
              <v:stroke on="f" joinstyle="miter"/>
              <v:imagedata o:title=""/>
              <o:lock v:ext="edit" aspectratio="f"/>
              <v:textbox inset="0mm,0mm,0mm,0mm" style="mso-fit-shape-to-text:t;">
                <w:txbxContent>
                  <w:p w14:paraId="438A5377">
                    <w:pPr>
                      <w:pStyle w:val="31"/>
                      <w:tabs>
                        <w:tab w:val="center" w:pos="4153"/>
                        <w:tab w:val="right" w:pos="8306"/>
                        <w:tab w:val="clear" w:pos="7143"/>
                        <w:tab w:val="clear" w:pos="14287"/>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r>
                      <w:rPr>
                        <w:rFonts w:hint="eastAsia"/>
                      </w:rPr>
                      <w:t xml:space="preserve"> 页 共 </w:t>
                    </w:r>
                    <w:r>
                      <w:rPr>
                        <w:rFonts w:hint="eastAsia"/>
                        <w:lang w:val="en-US" w:eastAsia="zh-CN"/>
                      </w:rPr>
                      <w:t>71</w:t>
                    </w:r>
                    <w:r>
                      <w:rPr>
                        <w:rFonts w:hint="eastAsia"/>
                      </w:rPr>
                      <w:t xml:space="preserve"> 页</w:t>
                    </w:r>
                  </w:p>
                  <w:p w14:paraId="39DC4237">
                    <w:pPr>
                      <w:pStyle w:val="31"/>
                    </w:pP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miter/>
                      </a:ln>
                    </wps:spPr>
                    <wps:txbx>
                      <w:txbxContent>
                        <w:p w14:paraId="1782E6AC">
                          <w:pPr>
                            <w:pStyle w:val="270"/>
                            <w:tabs>
                              <w:tab w:val="clear" w:pos="4153"/>
                              <w:tab w:val="clear" w:pos="8306"/>
                            </w:tabs>
                          </w:pPr>
                        </w:p>
                        <w:p w14:paraId="22A75D91">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&#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wbwvGNYBAACxAwAADgAAAAAAAAABACAAAAAe&#10;AQAAZHJzL2Uyb0RvYy54bWxQSwUGAAAAAAYABgBZAQAAZgUAAAAA&#10;">
              <v:fill on="f" focussize="0,0"/>
              <v:stroke on="f" joinstyle="miter"/>
              <v:imagedata o:title=""/>
              <o:lock v:ext="edit" aspectratio="f"/>
              <v:textbox inset="0mm,0mm,0mm,0mm" style="mso-fit-shape-to-text:t;">
                <w:txbxContent>
                  <w:p w14:paraId="1782E6AC">
                    <w:pPr>
                      <w:pStyle w:val="270"/>
                      <w:tabs>
                        <w:tab w:val="clear" w:pos="4153"/>
                        <w:tab w:val="clear" w:pos="8306"/>
                      </w:tabs>
                    </w:pPr>
                  </w:p>
                  <w:p w14:paraId="22A75D91">
                    <w:pPr>
                      <w:pStyle w:val="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E13CB">
    <w:pPr>
      <w:pStyle w:val="2"/>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162D">
    <w:pPr>
      <w:pStyle w:val="2"/>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55FBF">
    <w:pPr>
      <w:pStyle w:val="2"/>
      <w:pBdr>
        <w:bottom w:val="none" w:color="000000"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3AAE">
    <w:pPr>
      <w:pStyle w:val="32"/>
      <w:pBdr>
        <w:bottom w:val="single" w:color="auto" w:sz="4" w:space="0"/>
      </w:pBdr>
      <w:tabs>
        <w:tab w:val="center" w:pos="4153"/>
        <w:tab w:val="right" w:pos="8306"/>
        <w:tab w:val="clear" w:pos="7143"/>
        <w:tab w:val="clear" w:pos="14287"/>
      </w:tabs>
      <w:jc w:val="right"/>
      <w:rPr>
        <w:rFonts w:ascii="楷体" w:hAnsi="楷体" w:eastAsia="楷体" w:cs="楷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56D4E"/>
    <w:multiLevelType w:val="singleLevel"/>
    <w:tmpl w:val="9D056D4E"/>
    <w:lvl w:ilvl="0" w:tentative="0">
      <w:start w:val="1"/>
      <w:numFmt w:val="ideographTraditional"/>
      <w:suff w:val="nothing"/>
      <w:lvlText w:val="%1、"/>
      <w:lvlJc w:val="left"/>
      <w:pPr>
        <w:ind w:left="361" w:leftChars="0" w:firstLine="0" w:firstLineChars="0"/>
      </w:pPr>
      <w:rPr>
        <w:rFonts w:hint="eastAsia"/>
      </w:rPr>
    </w:lvl>
  </w:abstractNum>
  <w:abstractNum w:abstractNumId="1">
    <w:nsid w:val="9FE4A2C9"/>
    <w:multiLevelType w:val="singleLevel"/>
    <w:tmpl w:val="9FE4A2C9"/>
    <w:lvl w:ilvl="0" w:tentative="0">
      <w:start w:val="1"/>
      <w:numFmt w:val="chineseCounting"/>
      <w:suff w:val="nothing"/>
      <w:lvlText w:val="%1、"/>
      <w:lvlJc w:val="left"/>
      <w:pPr>
        <w:ind w:left="440"/>
      </w:pPr>
      <w:rPr>
        <w:rFonts w:hint="eastAsia"/>
      </w:rPr>
    </w:lvl>
  </w:abstractNum>
  <w:abstractNum w:abstractNumId="2">
    <w:nsid w:val="BF205925"/>
    <w:multiLevelType w:val="multilevel"/>
    <w:tmpl w:val="BF205925"/>
    <w:lvl w:ilvl="0" w:tentative="0">
      <w:start w:val="1"/>
      <w:numFmt w:val="bullet"/>
      <w:pStyle w:val="335"/>
      <w:lvlText w:val=""/>
      <w:lvlJc w:val="left"/>
      <w:pPr>
        <w:tabs>
          <w:tab w:val="left" w:pos="284"/>
        </w:tabs>
        <w:ind w:left="284" w:hanging="284"/>
      </w:pPr>
      <w:rPr>
        <w:rFonts w:ascii="Wingdings" w:hAnsi="Wingdings" w:eastAsia="宋体"/>
        <w:b w:val="0"/>
        <w:i w:val="0"/>
        <w:color w:val="000000"/>
        <w:position w:val="3"/>
        <w:sz w:val="13"/>
        <w:szCs w:val="13"/>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3">
    <w:nsid w:val="CF092B84"/>
    <w:multiLevelType w:val="multilevel"/>
    <w:tmpl w:val="CF092B84"/>
    <w:lvl w:ilvl="0" w:tentative="0">
      <w:start w:val="1"/>
      <w:numFmt w:val="decimal"/>
      <w:pStyle w:val="315"/>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53208E"/>
    <w:multiLevelType w:val="multilevel"/>
    <w:tmpl w:val="0053208E"/>
    <w:lvl w:ilvl="0" w:tentative="0">
      <w:start w:val="1"/>
      <w:numFmt w:val="decimal"/>
      <w:pStyle w:val="251"/>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ADCABA"/>
    <w:multiLevelType w:val="multilevel"/>
    <w:tmpl w:val="59ADCABA"/>
    <w:lvl w:ilvl="0" w:tentative="0">
      <w:start w:val="1"/>
      <w:numFmt w:val="decimal"/>
      <w:pStyle w:val="319"/>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A52F4"/>
    <w:rsid w:val="04924466"/>
    <w:rsid w:val="0BF22033"/>
    <w:rsid w:val="155618F4"/>
    <w:rsid w:val="188C00DC"/>
    <w:rsid w:val="19D90D46"/>
    <w:rsid w:val="21BE7A28"/>
    <w:rsid w:val="21C20614"/>
    <w:rsid w:val="237D71BF"/>
    <w:rsid w:val="27A85C61"/>
    <w:rsid w:val="2A4F4C2C"/>
    <w:rsid w:val="2B947DF6"/>
    <w:rsid w:val="3C974BDF"/>
    <w:rsid w:val="3D3E51D5"/>
    <w:rsid w:val="4E5006F4"/>
    <w:rsid w:val="52BA17D9"/>
    <w:rsid w:val="56CE4276"/>
    <w:rsid w:val="5FEC6866"/>
    <w:rsid w:val="60DF7B95"/>
    <w:rsid w:val="64442DF9"/>
    <w:rsid w:val="676047F4"/>
    <w:rsid w:val="67C1041C"/>
    <w:rsid w:val="68DB34A5"/>
    <w:rsid w:val="697D1B3A"/>
    <w:rsid w:val="6C927171"/>
    <w:rsid w:val="6F032573"/>
    <w:rsid w:val="73181763"/>
    <w:rsid w:val="77E847F2"/>
    <w:rsid w:val="793743E7"/>
    <w:rsid w:val="795D3D1D"/>
    <w:rsid w:val="7CAE1343"/>
    <w:rsid w:val="7D317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imes New Roman" w:hAnsi="Times New Roman" w:eastAsia="宋体" w:cs="Times New Roman"/>
      <w:lang w:val="en-US" w:eastAsia="zh-CN" w:bidi="ar-SA"/>
    </w:rPr>
  </w:style>
  <w:style w:type="paragraph" w:styleId="9">
    <w:name w:val="heading 1"/>
    <w:next w:val="1"/>
    <w:link w:val="90"/>
    <w:qFormat/>
    <w:uiPriority w:val="9"/>
    <w:pPr>
      <w:keepNext/>
      <w:keepLines/>
      <w:spacing w:before="480" w:after="200"/>
      <w:outlineLvl w:val="0"/>
    </w:pPr>
    <w:rPr>
      <w:rFonts w:hint="default" w:ascii="Arial" w:hAnsi="Arial" w:eastAsia="Arial" w:cs="Arial"/>
      <w:sz w:val="40"/>
      <w:szCs w:val="40"/>
      <w:lang w:val="en-US" w:eastAsia="zh-CN" w:bidi="ar-SA"/>
    </w:rPr>
  </w:style>
  <w:style w:type="paragraph" w:styleId="10">
    <w:name w:val="heading 2"/>
    <w:basedOn w:val="1"/>
    <w:next w:val="1"/>
    <w:link w:val="91"/>
    <w:unhideWhenUsed/>
    <w:qFormat/>
    <w:uiPriority w:val="9"/>
    <w:pPr>
      <w:keepNext/>
      <w:keepLines/>
      <w:spacing w:before="360" w:after="200"/>
      <w:outlineLvl w:val="1"/>
    </w:pPr>
    <w:rPr>
      <w:rFonts w:ascii="Arial" w:hAnsi="Arial" w:eastAsia="Arial" w:cs="Arial"/>
      <w:sz w:val="34"/>
    </w:rPr>
  </w:style>
  <w:style w:type="paragraph" w:styleId="11">
    <w:name w:val="heading 3"/>
    <w:next w:val="1"/>
    <w:link w:val="92"/>
    <w:unhideWhenUsed/>
    <w:qFormat/>
    <w:uiPriority w:val="9"/>
    <w:pPr>
      <w:keepNext/>
      <w:keepLines/>
      <w:spacing w:before="320" w:after="200"/>
      <w:outlineLvl w:val="2"/>
    </w:pPr>
    <w:rPr>
      <w:rFonts w:hint="default" w:ascii="Arial" w:hAnsi="Arial" w:eastAsia="Arial" w:cs="Arial"/>
      <w:sz w:val="30"/>
      <w:szCs w:val="30"/>
      <w:lang w:val="en-US" w:eastAsia="zh-CN" w:bidi="ar-SA"/>
    </w:rPr>
  </w:style>
  <w:style w:type="paragraph" w:styleId="12">
    <w:name w:val="heading 4"/>
    <w:basedOn w:val="1"/>
    <w:next w:val="1"/>
    <w:link w:val="93"/>
    <w:unhideWhenUsed/>
    <w:qFormat/>
    <w:uiPriority w:val="9"/>
    <w:pPr>
      <w:keepNext/>
      <w:keepLines/>
      <w:spacing w:before="320" w:after="200"/>
      <w:outlineLvl w:val="3"/>
    </w:pPr>
    <w:rPr>
      <w:rFonts w:ascii="Arial" w:hAnsi="Arial" w:eastAsia="Arial" w:cs="Arial"/>
      <w:b/>
      <w:bCs/>
      <w:sz w:val="26"/>
      <w:szCs w:val="26"/>
    </w:rPr>
  </w:style>
  <w:style w:type="paragraph" w:styleId="13">
    <w:name w:val="heading 5"/>
    <w:next w:val="1"/>
    <w:link w:val="94"/>
    <w:unhideWhenUsed/>
    <w:qFormat/>
    <w:uiPriority w:val="9"/>
    <w:pPr>
      <w:keepNext/>
      <w:keepLines/>
      <w:spacing w:before="320" w:after="200"/>
      <w:outlineLvl w:val="4"/>
    </w:pPr>
    <w:rPr>
      <w:rFonts w:hint="default" w:ascii="Arial" w:hAnsi="Arial" w:eastAsia="Arial" w:cs="Arial"/>
      <w:b/>
      <w:bCs/>
      <w:sz w:val="24"/>
      <w:szCs w:val="24"/>
      <w:lang w:val="en-US" w:eastAsia="zh-CN" w:bidi="ar-SA"/>
    </w:rPr>
  </w:style>
  <w:style w:type="paragraph" w:styleId="14">
    <w:name w:val="heading 6"/>
    <w:next w:val="1"/>
    <w:link w:val="95"/>
    <w:unhideWhenUsed/>
    <w:qFormat/>
    <w:uiPriority w:val="9"/>
    <w:pPr>
      <w:keepNext/>
      <w:keepLines/>
      <w:spacing w:before="320" w:after="200"/>
      <w:outlineLvl w:val="5"/>
    </w:pPr>
    <w:rPr>
      <w:rFonts w:hint="default" w:ascii="Arial" w:hAnsi="Arial" w:eastAsia="Arial" w:cs="Arial"/>
      <w:b/>
      <w:bCs/>
      <w:sz w:val="22"/>
      <w:szCs w:val="22"/>
      <w:lang w:val="en-US" w:eastAsia="zh-CN" w:bidi="ar-SA"/>
    </w:rPr>
  </w:style>
  <w:style w:type="paragraph" w:styleId="15">
    <w:name w:val="heading 7"/>
    <w:next w:val="1"/>
    <w:link w:val="96"/>
    <w:unhideWhenUsed/>
    <w:qFormat/>
    <w:uiPriority w:val="9"/>
    <w:pPr>
      <w:keepNext/>
      <w:keepLines/>
      <w:spacing w:before="320" w:after="200"/>
      <w:outlineLvl w:val="6"/>
    </w:pPr>
    <w:rPr>
      <w:rFonts w:hint="default" w:ascii="Arial" w:hAnsi="Arial" w:eastAsia="Arial" w:cs="Arial"/>
      <w:b/>
      <w:bCs/>
      <w:i/>
      <w:iCs/>
      <w:sz w:val="22"/>
      <w:szCs w:val="22"/>
      <w:lang w:val="en-US" w:eastAsia="zh-CN" w:bidi="ar-SA"/>
    </w:rPr>
  </w:style>
  <w:style w:type="paragraph" w:styleId="16">
    <w:name w:val="heading 8"/>
    <w:next w:val="1"/>
    <w:link w:val="97"/>
    <w:unhideWhenUsed/>
    <w:qFormat/>
    <w:uiPriority w:val="9"/>
    <w:pPr>
      <w:keepNext/>
      <w:keepLines/>
      <w:spacing w:before="320" w:after="200"/>
      <w:outlineLvl w:val="7"/>
    </w:pPr>
    <w:rPr>
      <w:rFonts w:hint="default" w:ascii="Arial" w:hAnsi="Arial" w:eastAsia="Arial" w:cs="Arial"/>
      <w:i/>
      <w:iCs/>
      <w:sz w:val="22"/>
      <w:szCs w:val="22"/>
      <w:lang w:val="en-US" w:eastAsia="zh-CN" w:bidi="ar-SA"/>
    </w:rPr>
  </w:style>
  <w:style w:type="paragraph" w:styleId="17">
    <w:name w:val="heading 9"/>
    <w:next w:val="1"/>
    <w:link w:val="98"/>
    <w:unhideWhenUsed/>
    <w:qFormat/>
    <w:uiPriority w:val="9"/>
    <w:pPr>
      <w:keepNext/>
      <w:keepLines/>
      <w:spacing w:before="320" w:after="200"/>
      <w:outlineLvl w:val="8"/>
    </w:pPr>
    <w:rPr>
      <w:rFonts w:hint="default" w:ascii="Arial" w:hAnsi="Arial" w:eastAsia="Arial" w:cs="Arial"/>
      <w:i/>
      <w:iCs/>
      <w:sz w:val="21"/>
      <w:szCs w:val="21"/>
      <w:lang w:val="en-US" w:eastAsia="zh-CN" w:bidi="ar-SA"/>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页眉1"/>
    <w:basedOn w:val="3"/>
    <w:next w:val="7"/>
    <w:link w:val="272"/>
    <w:qFormat/>
    <w:uiPriority w:val="0"/>
    <w:pPr>
      <w:pBdr>
        <w:bottom w:val="single" w:color="000000" w:sz="6" w:space="1"/>
      </w:pBdr>
      <w:tabs>
        <w:tab w:val="center" w:pos="4153"/>
        <w:tab w:val="right" w:pos="8306"/>
      </w:tabs>
      <w:jc w:val="center"/>
    </w:pPr>
    <w:rPr>
      <w:sz w:val="18"/>
      <w:szCs w:val="18"/>
    </w:rPr>
  </w:style>
  <w:style w:type="paragraph" w:customStyle="1" w:styleId="3">
    <w:name w:val="正文111"/>
    <w:next w:val="4"/>
    <w:link w:val="312"/>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4">
    <w:name w:val="标题 41"/>
    <w:basedOn w:val="5"/>
    <w:next w:val="3"/>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customStyle="1" w:styleId="5">
    <w:name w:val="正文11"/>
    <w:next w:val="6"/>
    <w:qFormat/>
    <w:uiPriority w:val="0"/>
    <w:pPr>
      <w:spacing w:line="856" w:lineRule="atLeast"/>
      <w:jc w:val="both"/>
    </w:pPr>
    <w:rPr>
      <w:rFonts w:hint="default" w:ascii="Times New Roman" w:hAnsi="Times New Roman" w:eastAsia="宋体" w:cs="Times New Roman"/>
      <w:color w:val="000000"/>
      <w:sz w:val="21"/>
      <w:lang w:val="en-US" w:eastAsia="zh-CN" w:bidi="ar-SA"/>
    </w:rPr>
  </w:style>
  <w:style w:type="paragraph" w:customStyle="1" w:styleId="6">
    <w:name w:val="footer1"/>
    <w:basedOn w:val="3"/>
    <w:qFormat/>
    <w:uiPriority w:val="0"/>
    <w:pPr>
      <w:tabs>
        <w:tab w:val="center" w:pos="4153"/>
        <w:tab w:val="right" w:pos="8306"/>
      </w:tabs>
      <w:jc w:val="left"/>
    </w:pPr>
    <w:rPr>
      <w:sz w:val="18"/>
    </w:rPr>
  </w:style>
  <w:style w:type="paragraph" w:customStyle="1" w:styleId="7">
    <w:name w:val="正文文本1"/>
    <w:basedOn w:val="3"/>
    <w:next w:val="8"/>
    <w:link w:val="258"/>
    <w:qFormat/>
    <w:uiPriority w:val="0"/>
    <w:pPr>
      <w:spacing w:after="120"/>
    </w:pPr>
  </w:style>
  <w:style w:type="paragraph" w:customStyle="1" w:styleId="8">
    <w:name w:val="目录 21"/>
    <w:basedOn w:val="3"/>
    <w:next w:val="1"/>
    <w:qFormat/>
    <w:uiPriority w:val="0"/>
    <w:pPr>
      <w:ind w:left="420"/>
    </w:pPr>
    <w:rPr>
      <w:sz w:val="24"/>
      <w:szCs w:val="24"/>
    </w:rPr>
  </w:style>
  <w:style w:type="paragraph" w:styleId="18">
    <w:name w:val="toc 7"/>
    <w:basedOn w:val="1"/>
    <w:next w:val="1"/>
    <w:unhideWhenUsed/>
    <w:qFormat/>
    <w:uiPriority w:val="39"/>
    <w:pPr>
      <w:ind w:left="2520"/>
    </w:pPr>
  </w:style>
  <w:style w:type="paragraph" w:styleId="19">
    <w:name w:val="Normal Indent"/>
    <w:basedOn w:val="1"/>
    <w:qFormat/>
    <w:uiPriority w:val="0"/>
    <w:pPr>
      <w:spacing w:line="856" w:lineRule="atLeast"/>
      <w:ind w:firstLine="420"/>
    </w:pPr>
    <w:rPr>
      <w:color w:val="000000"/>
    </w:rPr>
  </w:style>
  <w:style w:type="paragraph" w:styleId="20">
    <w:name w:val="caption"/>
    <w:next w:val="1"/>
    <w:semiHidden/>
    <w:unhideWhenUsed/>
    <w:qFormat/>
    <w:uiPriority w:val="35"/>
    <w:pPr>
      <w:spacing w:line="276" w:lineRule="auto"/>
    </w:pPr>
    <w:rPr>
      <w:rFonts w:hint="default" w:ascii="Times New Roman" w:hAnsi="Times New Roman" w:eastAsia="宋体" w:cs="Times New Roman"/>
      <w:b/>
      <w:bCs/>
      <w:color w:val="4F81BD" w:themeColor="accent1"/>
      <w:sz w:val="18"/>
      <w:szCs w:val="18"/>
      <w:lang w:val="en-US" w:eastAsia="zh-CN" w:bidi="ar-SA"/>
      <w14:textFill>
        <w14:solidFill>
          <w14:schemeClr w14:val="accent1"/>
        </w14:solidFill>
      </w14:textFill>
    </w:rPr>
  </w:style>
  <w:style w:type="paragraph" w:styleId="21">
    <w:name w:val="annotation text"/>
    <w:basedOn w:val="1"/>
    <w:semiHidden/>
    <w:unhideWhenUsed/>
    <w:qFormat/>
    <w:uiPriority w:val="99"/>
  </w:style>
  <w:style w:type="paragraph" w:styleId="22">
    <w:name w:val="Body Text"/>
    <w:basedOn w:val="1"/>
    <w:next w:val="1"/>
    <w:qFormat/>
    <w:uiPriority w:val="0"/>
    <w:pPr>
      <w:spacing w:line="929" w:lineRule="atLeast"/>
      <w:ind w:firstLine="419"/>
    </w:pPr>
    <w:rPr>
      <w:rFonts w:ascii="楷体_GB2312" w:eastAsia="楷体_GB2312"/>
      <w:sz w:val="28"/>
    </w:rPr>
  </w:style>
  <w:style w:type="paragraph" w:styleId="23">
    <w:name w:val="Block Text"/>
    <w:basedOn w:val="1"/>
    <w:qFormat/>
    <w:uiPriority w:val="0"/>
    <w:pPr>
      <w:ind w:left="256" w:right="6" w:firstLine="624"/>
    </w:pPr>
    <w:rPr>
      <w:rFonts w:eastAsia="仿宋"/>
      <w:sz w:val="28"/>
    </w:rPr>
  </w:style>
  <w:style w:type="paragraph" w:styleId="24">
    <w:name w:val="toc 5"/>
    <w:basedOn w:val="1"/>
    <w:next w:val="1"/>
    <w:unhideWhenUsed/>
    <w:qFormat/>
    <w:uiPriority w:val="39"/>
    <w:pPr>
      <w:ind w:left="1680"/>
    </w:pPr>
  </w:style>
  <w:style w:type="paragraph" w:styleId="25">
    <w:name w:val="toc 3"/>
    <w:basedOn w:val="1"/>
    <w:next w:val="1"/>
    <w:unhideWhenUsed/>
    <w:qFormat/>
    <w:uiPriority w:val="39"/>
    <w:pPr>
      <w:ind w:left="840"/>
    </w:pPr>
  </w:style>
  <w:style w:type="paragraph" w:styleId="26">
    <w:name w:val="Plain Text"/>
    <w:basedOn w:val="1"/>
    <w:qFormat/>
    <w:uiPriority w:val="0"/>
    <w:rPr>
      <w:rFonts w:ascii="宋体" w:hAnsi="Courier New"/>
      <w:kern w:val="0"/>
      <w:sz w:val="20"/>
      <w:szCs w:val="21"/>
    </w:rPr>
  </w:style>
  <w:style w:type="paragraph" w:styleId="27">
    <w:name w:val="toc 8"/>
    <w:basedOn w:val="1"/>
    <w:next w:val="1"/>
    <w:unhideWhenUsed/>
    <w:qFormat/>
    <w:uiPriority w:val="39"/>
    <w:pPr>
      <w:ind w:left="2940"/>
    </w:pPr>
  </w:style>
  <w:style w:type="paragraph" w:styleId="28">
    <w:name w:val="Body Text Indent 2"/>
    <w:basedOn w:val="1"/>
    <w:qFormat/>
    <w:uiPriority w:val="0"/>
    <w:pPr>
      <w:ind w:left="630" w:firstLine="645"/>
    </w:pPr>
    <w:rPr>
      <w:rFonts w:ascii="Arial" w:hAnsi="Arial" w:eastAsia="仿宋_GB2312"/>
      <w:kern w:val="0"/>
      <w:sz w:val="32"/>
      <w:szCs w:val="32"/>
    </w:rPr>
  </w:style>
  <w:style w:type="paragraph" w:styleId="29">
    <w:name w:val="endnote text"/>
    <w:link w:val="236"/>
    <w:semiHidden/>
    <w:unhideWhenUsed/>
    <w:qFormat/>
    <w:uiPriority w:val="99"/>
    <w:rPr>
      <w:rFonts w:hint="default" w:ascii="Times New Roman" w:hAnsi="Times New Roman" w:eastAsia="宋体" w:cs="Times New Roman"/>
      <w:lang w:val="en-US" w:eastAsia="zh-CN" w:bidi="ar-SA"/>
    </w:rPr>
  </w:style>
  <w:style w:type="paragraph" w:styleId="30">
    <w:name w:val="Balloon Text"/>
    <w:basedOn w:val="1"/>
    <w:link w:val="355"/>
    <w:semiHidden/>
    <w:unhideWhenUsed/>
    <w:qFormat/>
    <w:uiPriority w:val="99"/>
    <w:rPr>
      <w:sz w:val="18"/>
      <w:szCs w:val="18"/>
    </w:rPr>
  </w:style>
  <w:style w:type="paragraph" w:styleId="31">
    <w:name w:val="footer"/>
    <w:basedOn w:val="1"/>
    <w:link w:val="109"/>
    <w:unhideWhenUsed/>
    <w:qFormat/>
    <w:uiPriority w:val="99"/>
    <w:pPr>
      <w:tabs>
        <w:tab w:val="center" w:pos="7143"/>
        <w:tab w:val="right" w:pos="14287"/>
      </w:tabs>
    </w:pPr>
  </w:style>
  <w:style w:type="paragraph" w:styleId="32">
    <w:name w:val="header"/>
    <w:basedOn w:val="1"/>
    <w:link w:val="107"/>
    <w:unhideWhenUsed/>
    <w:qFormat/>
    <w:uiPriority w:val="99"/>
    <w:pPr>
      <w:tabs>
        <w:tab w:val="center" w:pos="7143"/>
        <w:tab w:val="right" w:pos="14287"/>
      </w:tabs>
    </w:pPr>
  </w:style>
  <w:style w:type="paragraph" w:styleId="33">
    <w:name w:val="toc 1"/>
    <w:basedOn w:val="1"/>
    <w:next w:val="1"/>
    <w:unhideWhenUsed/>
    <w:qFormat/>
    <w:uiPriority w:val="39"/>
  </w:style>
  <w:style w:type="paragraph" w:styleId="34">
    <w:name w:val="toc 4"/>
    <w:basedOn w:val="1"/>
    <w:next w:val="1"/>
    <w:unhideWhenUsed/>
    <w:qFormat/>
    <w:uiPriority w:val="39"/>
    <w:pPr>
      <w:ind w:left="1260"/>
    </w:pPr>
  </w:style>
  <w:style w:type="paragraph" w:styleId="35">
    <w:name w:val="Subtitle"/>
    <w:link w:val="102"/>
    <w:qFormat/>
    <w:uiPriority w:val="11"/>
    <w:pPr>
      <w:spacing w:before="200" w:after="200"/>
    </w:pPr>
    <w:rPr>
      <w:rFonts w:hint="default" w:ascii="Times New Roman" w:hAnsi="Times New Roman" w:eastAsia="宋体" w:cs="Times New Roman"/>
      <w:sz w:val="24"/>
      <w:szCs w:val="24"/>
      <w:lang w:val="en-US" w:eastAsia="zh-CN" w:bidi="ar-SA"/>
    </w:rPr>
  </w:style>
  <w:style w:type="paragraph" w:styleId="36">
    <w:name w:val="footnote text"/>
    <w:link w:val="235"/>
    <w:semiHidden/>
    <w:unhideWhenUsed/>
    <w:qFormat/>
    <w:uiPriority w:val="99"/>
    <w:pPr>
      <w:spacing w:after="40"/>
    </w:pPr>
    <w:rPr>
      <w:rFonts w:hint="default" w:ascii="Times New Roman" w:hAnsi="Times New Roman" w:eastAsia="宋体" w:cs="Times New Roman"/>
      <w:sz w:val="18"/>
      <w:lang w:val="en-US" w:eastAsia="zh-CN" w:bidi="ar-SA"/>
    </w:rPr>
  </w:style>
  <w:style w:type="paragraph" w:styleId="37">
    <w:name w:val="toc 6"/>
    <w:basedOn w:val="1"/>
    <w:next w:val="1"/>
    <w:unhideWhenUsed/>
    <w:qFormat/>
    <w:uiPriority w:val="39"/>
    <w:pPr>
      <w:ind w:left="2100"/>
    </w:pPr>
  </w:style>
  <w:style w:type="paragraph" w:styleId="38">
    <w:name w:val="table of figures"/>
    <w:next w:val="1"/>
    <w:unhideWhenUsed/>
    <w:qFormat/>
    <w:uiPriority w:val="99"/>
    <w:rPr>
      <w:rFonts w:hint="default" w:ascii="Times New Roman" w:hAnsi="Times New Roman" w:eastAsia="宋体" w:cs="Times New Roman"/>
      <w:lang w:val="en-US" w:eastAsia="zh-CN" w:bidi="ar-SA"/>
    </w:rPr>
  </w:style>
  <w:style w:type="paragraph" w:styleId="39">
    <w:name w:val="toc 2"/>
    <w:basedOn w:val="1"/>
    <w:next w:val="1"/>
    <w:unhideWhenUsed/>
    <w:qFormat/>
    <w:uiPriority w:val="39"/>
    <w:pPr>
      <w:ind w:left="420"/>
    </w:pPr>
  </w:style>
  <w:style w:type="paragraph" w:styleId="40">
    <w:name w:val="toc 9"/>
    <w:basedOn w:val="1"/>
    <w:next w:val="1"/>
    <w:unhideWhenUsed/>
    <w:qFormat/>
    <w:uiPriority w:val="39"/>
    <w:pPr>
      <w:ind w:left="3360"/>
    </w:pPr>
  </w:style>
  <w:style w:type="paragraph" w:styleId="41">
    <w:name w:val="Normal (Web)"/>
    <w:basedOn w:val="1"/>
    <w:semiHidden/>
    <w:unhideWhenUsed/>
    <w:qFormat/>
    <w:uiPriority w:val="99"/>
    <w:rPr>
      <w:sz w:val="24"/>
    </w:rPr>
  </w:style>
  <w:style w:type="paragraph" w:styleId="42">
    <w:name w:val="Title"/>
    <w:link w:val="101"/>
    <w:qFormat/>
    <w:uiPriority w:val="10"/>
    <w:pPr>
      <w:spacing w:before="300" w:after="200"/>
      <w:contextualSpacing/>
    </w:pPr>
    <w:rPr>
      <w:rFonts w:hint="default" w:ascii="Times New Roman" w:hAnsi="Times New Roman" w:eastAsia="宋体" w:cs="Times New Roman"/>
      <w:sz w:val="48"/>
      <w:szCs w:val="48"/>
      <w:lang w:val="en-US" w:eastAsia="zh-CN" w:bidi="ar-SA"/>
    </w:rPr>
  </w:style>
  <w:style w:type="table" w:styleId="4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basedOn w:val="45"/>
    <w:qFormat/>
    <w:uiPriority w:val="22"/>
    <w:rPr>
      <w:rFonts w:ascii="Times New Roman" w:hAnsi="Times New Roman" w:eastAsia="宋体" w:cs="Times New Roman"/>
      <w:b/>
      <w:bCs/>
    </w:rPr>
  </w:style>
  <w:style w:type="character" w:styleId="47">
    <w:name w:val="endnote reference"/>
    <w:semiHidden/>
    <w:unhideWhenUsed/>
    <w:qFormat/>
    <w:uiPriority w:val="99"/>
    <w:rPr>
      <w:vertAlign w:val="superscript"/>
    </w:rPr>
  </w:style>
  <w:style w:type="character" w:styleId="48">
    <w:name w:val="page number"/>
    <w:qFormat/>
    <w:uiPriority w:val="0"/>
  </w:style>
  <w:style w:type="character" w:styleId="49">
    <w:name w:val="FollowedHyperlink"/>
    <w:basedOn w:val="45"/>
    <w:semiHidden/>
    <w:unhideWhenUsed/>
    <w:qFormat/>
    <w:uiPriority w:val="99"/>
    <w:rPr>
      <w:color w:val="333333"/>
      <w:u w:val="none"/>
    </w:rPr>
  </w:style>
  <w:style w:type="character" w:styleId="50">
    <w:name w:val="Hyperlink"/>
    <w:unhideWhenUsed/>
    <w:qFormat/>
    <w:uiPriority w:val="99"/>
    <w:rPr>
      <w:color w:val="0000FF" w:themeColor="hyperlink"/>
      <w:u w:val="single"/>
      <w14:textFill>
        <w14:solidFill>
          <w14:schemeClr w14:val="hlink"/>
        </w14:solidFill>
      </w14:textFill>
    </w:rPr>
  </w:style>
  <w:style w:type="character" w:styleId="51">
    <w:name w:val="footnote reference"/>
    <w:unhideWhenUsed/>
    <w:qFormat/>
    <w:uiPriority w:val="99"/>
    <w:rPr>
      <w:vertAlign w:val="superscript"/>
    </w:rPr>
  </w:style>
  <w:style w:type="paragraph" w:customStyle="1" w:styleId="52">
    <w:name w:val="正文缩进1"/>
    <w:basedOn w:val="3"/>
    <w:qFormat/>
    <w:uiPriority w:val="0"/>
    <w:pPr>
      <w:spacing w:line="782" w:lineRule="atLeast"/>
      <w:ind w:firstLine="419"/>
    </w:pPr>
  </w:style>
  <w:style w:type="character" w:customStyle="1" w:styleId="53">
    <w:name w:val="Heading 1 Char"/>
    <w:basedOn w:val="45"/>
    <w:qFormat/>
    <w:uiPriority w:val="9"/>
    <w:rPr>
      <w:rFonts w:ascii="Arial" w:hAnsi="Arial" w:eastAsia="Arial" w:cs="Arial"/>
      <w:sz w:val="40"/>
      <w:szCs w:val="40"/>
    </w:rPr>
  </w:style>
  <w:style w:type="character" w:customStyle="1" w:styleId="54">
    <w:name w:val="Heading 2 Char"/>
    <w:basedOn w:val="45"/>
    <w:qFormat/>
    <w:uiPriority w:val="9"/>
    <w:rPr>
      <w:rFonts w:ascii="Arial" w:hAnsi="Arial" w:eastAsia="Arial" w:cs="Arial"/>
      <w:sz w:val="34"/>
    </w:rPr>
  </w:style>
  <w:style w:type="character" w:customStyle="1" w:styleId="55">
    <w:name w:val="Heading 3 Char"/>
    <w:basedOn w:val="45"/>
    <w:qFormat/>
    <w:uiPriority w:val="9"/>
    <w:rPr>
      <w:rFonts w:ascii="Arial" w:hAnsi="Arial" w:eastAsia="Arial" w:cs="Arial"/>
      <w:sz w:val="30"/>
      <w:szCs w:val="30"/>
    </w:rPr>
  </w:style>
  <w:style w:type="character" w:customStyle="1" w:styleId="56">
    <w:name w:val="Heading 4 Char"/>
    <w:basedOn w:val="45"/>
    <w:qFormat/>
    <w:uiPriority w:val="9"/>
    <w:rPr>
      <w:rFonts w:ascii="Arial" w:hAnsi="Arial" w:eastAsia="Arial" w:cs="Arial"/>
      <w:b/>
      <w:bCs/>
      <w:sz w:val="26"/>
      <w:szCs w:val="26"/>
    </w:rPr>
  </w:style>
  <w:style w:type="character" w:customStyle="1" w:styleId="57">
    <w:name w:val="Heading 5 Char"/>
    <w:basedOn w:val="45"/>
    <w:qFormat/>
    <w:uiPriority w:val="9"/>
    <w:rPr>
      <w:rFonts w:ascii="Arial" w:hAnsi="Arial" w:eastAsia="Arial" w:cs="Arial"/>
      <w:b/>
      <w:bCs/>
      <w:sz w:val="24"/>
      <w:szCs w:val="24"/>
    </w:rPr>
  </w:style>
  <w:style w:type="character" w:customStyle="1" w:styleId="58">
    <w:name w:val="Heading 6 Char"/>
    <w:basedOn w:val="45"/>
    <w:qFormat/>
    <w:uiPriority w:val="9"/>
    <w:rPr>
      <w:rFonts w:ascii="Arial" w:hAnsi="Arial" w:eastAsia="Arial" w:cs="Arial"/>
      <w:b/>
      <w:bCs/>
      <w:sz w:val="22"/>
      <w:szCs w:val="22"/>
    </w:rPr>
  </w:style>
  <w:style w:type="character" w:customStyle="1" w:styleId="59">
    <w:name w:val="Heading 7 Char"/>
    <w:basedOn w:val="45"/>
    <w:qFormat/>
    <w:uiPriority w:val="9"/>
    <w:rPr>
      <w:rFonts w:ascii="Arial" w:hAnsi="Arial" w:eastAsia="Arial" w:cs="Arial"/>
      <w:b/>
      <w:bCs/>
      <w:i/>
      <w:iCs/>
      <w:sz w:val="22"/>
      <w:szCs w:val="22"/>
    </w:rPr>
  </w:style>
  <w:style w:type="character" w:customStyle="1" w:styleId="60">
    <w:name w:val="Heading 8 Char"/>
    <w:basedOn w:val="45"/>
    <w:qFormat/>
    <w:uiPriority w:val="9"/>
    <w:rPr>
      <w:rFonts w:ascii="Arial" w:hAnsi="Arial" w:eastAsia="Arial" w:cs="Arial"/>
      <w:i/>
      <w:iCs/>
      <w:sz w:val="22"/>
      <w:szCs w:val="22"/>
    </w:rPr>
  </w:style>
  <w:style w:type="character" w:customStyle="1" w:styleId="61">
    <w:name w:val="Heading 9 Char"/>
    <w:basedOn w:val="45"/>
    <w:qFormat/>
    <w:uiPriority w:val="9"/>
    <w:rPr>
      <w:rFonts w:ascii="Arial" w:hAnsi="Arial" w:eastAsia="Arial" w:cs="Arial"/>
      <w:i/>
      <w:iCs/>
      <w:sz w:val="21"/>
      <w:szCs w:val="21"/>
    </w:rPr>
  </w:style>
  <w:style w:type="character" w:customStyle="1" w:styleId="62">
    <w:name w:val="Title Char"/>
    <w:basedOn w:val="45"/>
    <w:qFormat/>
    <w:uiPriority w:val="10"/>
    <w:rPr>
      <w:sz w:val="48"/>
      <w:szCs w:val="48"/>
    </w:rPr>
  </w:style>
  <w:style w:type="character" w:customStyle="1" w:styleId="63">
    <w:name w:val="Subtitle Char"/>
    <w:basedOn w:val="45"/>
    <w:qFormat/>
    <w:uiPriority w:val="11"/>
    <w:rPr>
      <w:sz w:val="24"/>
      <w:szCs w:val="24"/>
    </w:rPr>
  </w:style>
  <w:style w:type="character" w:customStyle="1" w:styleId="64">
    <w:name w:val="Quote Char"/>
    <w:qFormat/>
    <w:uiPriority w:val="29"/>
    <w:rPr>
      <w:i/>
    </w:rPr>
  </w:style>
  <w:style w:type="character" w:customStyle="1" w:styleId="65">
    <w:name w:val="Intense Quote Char"/>
    <w:qFormat/>
    <w:uiPriority w:val="30"/>
    <w:rPr>
      <w:i/>
    </w:rPr>
  </w:style>
  <w:style w:type="character" w:customStyle="1" w:styleId="66">
    <w:name w:val="Header Char"/>
    <w:basedOn w:val="45"/>
    <w:qFormat/>
    <w:uiPriority w:val="99"/>
  </w:style>
  <w:style w:type="character" w:customStyle="1" w:styleId="67">
    <w:name w:val="Caption Char"/>
    <w:qFormat/>
    <w:uiPriority w:val="99"/>
  </w:style>
  <w:style w:type="table" w:customStyle="1" w:styleId="68">
    <w:name w:val="Plain Table 1"/>
    <w:basedOn w:val="4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9">
    <w:name w:val="Plain Table 2"/>
    <w:basedOn w:val="4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0">
    <w:name w:val="Plain Table 3"/>
    <w:basedOn w:val="4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Plain Table 4"/>
    <w:basedOn w:val="43"/>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Plain Table 5"/>
    <w:basedOn w:val="43"/>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Grid Table 1 Light"/>
    <w:basedOn w:val="4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4">
    <w:name w:val="Grid Table 2"/>
    <w:basedOn w:val="4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w:basedOn w:val="4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4"/>
    <w:basedOn w:val="4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5 Dark"/>
    <w:basedOn w:val="4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8">
    <w:name w:val="Grid Table 6 Colorful"/>
    <w:basedOn w:val="4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9">
    <w:name w:val="Grid Table 7 Colorful"/>
    <w:basedOn w:val="4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80">
    <w:name w:val="List Table 1 Light"/>
    <w:basedOn w:val="43"/>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81">
    <w:name w:val="List Table 2"/>
    <w:basedOn w:val="4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2">
    <w:name w:val="List Table 3"/>
    <w:basedOn w:val="4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3">
    <w:name w:val="List Table 4"/>
    <w:basedOn w:val="4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4">
    <w:name w:val="List Table 5 Dark"/>
    <w:basedOn w:val="4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85">
    <w:name w:val="List Table 6 Colorful"/>
    <w:basedOn w:val="43"/>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86">
    <w:name w:val="List Table 7 Colorful"/>
    <w:basedOn w:val="43"/>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87">
    <w:name w:val="Footnote Text Char"/>
    <w:qFormat/>
    <w:uiPriority w:val="99"/>
    <w:rPr>
      <w:sz w:val="18"/>
    </w:rPr>
  </w:style>
  <w:style w:type="character" w:customStyle="1" w:styleId="88">
    <w:name w:val="Endnote Text Char"/>
    <w:qFormat/>
    <w:uiPriority w:val="99"/>
    <w:rPr>
      <w:sz w:val="20"/>
    </w:rPr>
  </w:style>
  <w:style w:type="paragraph" w:customStyle="1" w:styleId="89">
    <w:name w:val="TOC Heading"/>
    <w:unhideWhenUsed/>
    <w:qFormat/>
    <w:uiPriority w:val="39"/>
    <w:rPr>
      <w:rFonts w:hint="default" w:ascii="Times New Roman" w:hAnsi="Times New Roman" w:eastAsia="宋体" w:cs="Times New Roman"/>
    </w:rPr>
  </w:style>
  <w:style w:type="character" w:customStyle="1" w:styleId="90">
    <w:name w:val="标题 1 Char1"/>
    <w:link w:val="9"/>
    <w:qFormat/>
    <w:uiPriority w:val="9"/>
    <w:rPr>
      <w:rFonts w:ascii="Arial" w:hAnsi="Arial" w:eastAsia="Arial" w:cs="Arial"/>
      <w:sz w:val="40"/>
      <w:szCs w:val="40"/>
    </w:rPr>
  </w:style>
  <w:style w:type="character" w:customStyle="1" w:styleId="91">
    <w:name w:val="标题 2 Char1"/>
    <w:link w:val="10"/>
    <w:qFormat/>
    <w:uiPriority w:val="9"/>
    <w:rPr>
      <w:rFonts w:ascii="Arial" w:hAnsi="Arial" w:eastAsia="Arial" w:cs="Arial"/>
      <w:sz w:val="34"/>
    </w:rPr>
  </w:style>
  <w:style w:type="character" w:customStyle="1" w:styleId="92">
    <w:name w:val="标题 3 Char"/>
    <w:link w:val="11"/>
    <w:qFormat/>
    <w:uiPriority w:val="9"/>
    <w:rPr>
      <w:rFonts w:ascii="Arial" w:hAnsi="Arial" w:eastAsia="Arial" w:cs="Arial"/>
      <w:sz w:val="30"/>
      <w:szCs w:val="30"/>
    </w:rPr>
  </w:style>
  <w:style w:type="character" w:customStyle="1" w:styleId="93">
    <w:name w:val="标题 4 Char"/>
    <w:link w:val="12"/>
    <w:qFormat/>
    <w:uiPriority w:val="9"/>
    <w:rPr>
      <w:rFonts w:ascii="Arial" w:hAnsi="Arial" w:eastAsia="Arial" w:cs="Arial"/>
      <w:b/>
      <w:bCs/>
      <w:sz w:val="26"/>
      <w:szCs w:val="26"/>
    </w:rPr>
  </w:style>
  <w:style w:type="character" w:customStyle="1" w:styleId="94">
    <w:name w:val="标题 5 Char"/>
    <w:link w:val="13"/>
    <w:qFormat/>
    <w:uiPriority w:val="9"/>
    <w:rPr>
      <w:rFonts w:ascii="Arial" w:hAnsi="Arial" w:eastAsia="Arial" w:cs="Arial"/>
      <w:b/>
      <w:bCs/>
      <w:sz w:val="24"/>
      <w:szCs w:val="24"/>
    </w:rPr>
  </w:style>
  <w:style w:type="character" w:customStyle="1" w:styleId="95">
    <w:name w:val="标题 6 Char"/>
    <w:link w:val="14"/>
    <w:qFormat/>
    <w:uiPriority w:val="9"/>
    <w:rPr>
      <w:rFonts w:ascii="Arial" w:hAnsi="Arial" w:eastAsia="Arial" w:cs="Arial"/>
      <w:b/>
      <w:bCs/>
      <w:sz w:val="22"/>
      <w:szCs w:val="22"/>
    </w:rPr>
  </w:style>
  <w:style w:type="character" w:customStyle="1" w:styleId="96">
    <w:name w:val="标题 7 Char"/>
    <w:link w:val="15"/>
    <w:qFormat/>
    <w:uiPriority w:val="9"/>
    <w:rPr>
      <w:rFonts w:ascii="Arial" w:hAnsi="Arial" w:eastAsia="Arial" w:cs="Arial"/>
      <w:b/>
      <w:bCs/>
      <w:i/>
      <w:iCs/>
      <w:sz w:val="22"/>
      <w:szCs w:val="22"/>
    </w:rPr>
  </w:style>
  <w:style w:type="character" w:customStyle="1" w:styleId="97">
    <w:name w:val="标题 8 Char"/>
    <w:link w:val="16"/>
    <w:qFormat/>
    <w:uiPriority w:val="9"/>
    <w:rPr>
      <w:rFonts w:ascii="Arial" w:hAnsi="Arial" w:eastAsia="Arial" w:cs="Arial"/>
      <w:i/>
      <w:iCs/>
      <w:sz w:val="22"/>
      <w:szCs w:val="22"/>
    </w:rPr>
  </w:style>
  <w:style w:type="character" w:customStyle="1" w:styleId="98">
    <w:name w:val="标题 9 Char"/>
    <w:link w:val="17"/>
    <w:qFormat/>
    <w:uiPriority w:val="9"/>
    <w:rPr>
      <w:rFonts w:ascii="Arial" w:hAnsi="Arial" w:eastAsia="Arial" w:cs="Arial"/>
      <w:i/>
      <w:iCs/>
      <w:sz w:val="21"/>
      <w:szCs w:val="21"/>
    </w:rPr>
  </w:style>
  <w:style w:type="paragraph" w:styleId="99">
    <w:name w:val="List Paragraph"/>
    <w:qFormat/>
    <w:uiPriority w:val="34"/>
    <w:pPr>
      <w:ind w:left="720"/>
      <w:contextualSpacing/>
    </w:pPr>
    <w:rPr>
      <w:rFonts w:hint="default" w:ascii="Times New Roman" w:hAnsi="Times New Roman" w:eastAsia="宋体" w:cs="Times New Roman"/>
      <w:lang w:val="en-US" w:eastAsia="zh-CN" w:bidi="ar-SA"/>
    </w:rPr>
  </w:style>
  <w:style w:type="paragraph" w:styleId="100">
    <w:name w:val="No Spacing"/>
    <w:qFormat/>
    <w:uiPriority w:val="1"/>
    <w:rPr>
      <w:rFonts w:hint="default" w:ascii="Times New Roman" w:hAnsi="Times New Roman" w:eastAsia="宋体" w:cs="Times New Roman"/>
      <w:lang w:val="en-US" w:eastAsia="zh-CN" w:bidi="ar-SA"/>
    </w:rPr>
  </w:style>
  <w:style w:type="character" w:customStyle="1" w:styleId="101">
    <w:name w:val="标题 Char"/>
    <w:link w:val="42"/>
    <w:qFormat/>
    <w:uiPriority w:val="10"/>
    <w:rPr>
      <w:sz w:val="48"/>
      <w:szCs w:val="48"/>
    </w:rPr>
  </w:style>
  <w:style w:type="character" w:customStyle="1" w:styleId="102">
    <w:name w:val="副标题 Char"/>
    <w:link w:val="35"/>
    <w:qFormat/>
    <w:uiPriority w:val="11"/>
    <w:rPr>
      <w:sz w:val="24"/>
      <w:szCs w:val="24"/>
    </w:rPr>
  </w:style>
  <w:style w:type="paragraph" w:styleId="103">
    <w:name w:val="Quote"/>
    <w:link w:val="104"/>
    <w:qFormat/>
    <w:uiPriority w:val="29"/>
    <w:pPr>
      <w:ind w:left="720" w:right="720"/>
    </w:pPr>
    <w:rPr>
      <w:rFonts w:hint="default" w:ascii="Times New Roman" w:hAnsi="Times New Roman" w:eastAsia="宋体" w:cs="Times New Roman"/>
      <w:i/>
      <w:lang w:val="en-US" w:eastAsia="zh-CN" w:bidi="ar-SA"/>
    </w:rPr>
  </w:style>
  <w:style w:type="character" w:customStyle="1" w:styleId="104">
    <w:name w:val="引用 Char"/>
    <w:link w:val="103"/>
    <w:qFormat/>
    <w:uiPriority w:val="29"/>
    <w:rPr>
      <w:i/>
    </w:rPr>
  </w:style>
  <w:style w:type="paragraph" w:styleId="105">
    <w:name w:val="Intense Quote"/>
    <w:link w:val="10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hint="default" w:ascii="Times New Roman" w:hAnsi="Times New Roman" w:eastAsia="宋体" w:cs="Times New Roman"/>
      <w:i/>
      <w:lang w:val="en-US" w:eastAsia="zh-CN" w:bidi="ar-SA"/>
    </w:rPr>
  </w:style>
  <w:style w:type="character" w:customStyle="1" w:styleId="106">
    <w:name w:val="明显引用 Char"/>
    <w:link w:val="105"/>
    <w:qFormat/>
    <w:uiPriority w:val="30"/>
    <w:rPr>
      <w:i/>
    </w:rPr>
  </w:style>
  <w:style w:type="character" w:customStyle="1" w:styleId="107">
    <w:name w:val="页眉 Char1"/>
    <w:link w:val="32"/>
    <w:qFormat/>
    <w:uiPriority w:val="99"/>
  </w:style>
  <w:style w:type="character" w:customStyle="1" w:styleId="108">
    <w:name w:val="Footer Char"/>
    <w:qFormat/>
    <w:uiPriority w:val="99"/>
  </w:style>
  <w:style w:type="character" w:customStyle="1" w:styleId="109">
    <w:name w:val="页脚 Char1"/>
    <w:link w:val="31"/>
    <w:qFormat/>
    <w:uiPriority w:val="99"/>
  </w:style>
  <w:style w:type="table" w:customStyle="1" w:styleId="110">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11">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12">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13">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4">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5">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6">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17">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18">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19">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20">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21">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22">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23">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4">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25">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6">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7">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8">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9">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0">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31">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32">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33">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34">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35">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6">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7">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38">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39">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40">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41">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42">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43">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44">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45">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46">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47">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48">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49">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50">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51">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53">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55">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7">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58">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60">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62">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64">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65">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66">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67">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68">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69">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70">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71">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72">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3">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74">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5">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6">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7">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8">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9">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80">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81">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82">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83">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84">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85">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86">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87">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88">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89">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90">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91">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92">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93">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94">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95">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96">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97">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98">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99">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200">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201">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02">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03">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04">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05">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06">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7">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08">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09">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10">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11">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12">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13">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14">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5">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6">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7">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8">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9">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20">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21">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22">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23">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24">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25">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26">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27">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28">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29">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30">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31">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32">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33">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34">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35">
    <w:name w:val="脚注文本 Char"/>
    <w:link w:val="36"/>
    <w:qFormat/>
    <w:uiPriority w:val="99"/>
    <w:rPr>
      <w:sz w:val="18"/>
    </w:rPr>
  </w:style>
  <w:style w:type="character" w:customStyle="1" w:styleId="236">
    <w:name w:val="尾注文本 Char"/>
    <w:link w:val="29"/>
    <w:qFormat/>
    <w:uiPriority w:val="99"/>
    <w:rPr>
      <w:sz w:val="20"/>
    </w:rPr>
  </w:style>
  <w:style w:type="paragraph" w:customStyle="1" w:styleId="237">
    <w:name w:val="TOC 标题1"/>
    <w:unhideWhenUsed/>
    <w:qFormat/>
    <w:uiPriority w:val="39"/>
    <w:rPr>
      <w:rFonts w:hint="default" w:ascii="Times New Roman" w:hAnsi="Times New Roman" w:eastAsia="宋体" w:cs="Times New Roman"/>
      <w:lang w:val="en-US" w:eastAsia="zh-CN" w:bidi="ar-SA"/>
    </w:rPr>
  </w:style>
  <w:style w:type="paragraph" w:customStyle="1" w:styleId="238">
    <w:name w:val="标题 11"/>
    <w:basedOn w:val="3"/>
    <w:next w:val="1"/>
    <w:link w:val="249"/>
    <w:qFormat/>
    <w:uiPriority w:val="0"/>
    <w:pPr>
      <w:keepNext/>
      <w:keepLines/>
      <w:spacing w:before="340" w:after="330" w:line="578" w:lineRule="auto"/>
      <w:outlineLvl w:val="0"/>
    </w:pPr>
    <w:rPr>
      <w:b/>
      <w:bCs/>
      <w:sz w:val="44"/>
      <w:szCs w:val="44"/>
    </w:rPr>
  </w:style>
  <w:style w:type="paragraph" w:customStyle="1" w:styleId="239">
    <w:name w:val="标题 21"/>
    <w:basedOn w:val="3"/>
    <w:next w:val="3"/>
    <w:link w:val="250"/>
    <w:qFormat/>
    <w:uiPriority w:val="0"/>
    <w:pPr>
      <w:keepNext/>
      <w:keepLines/>
      <w:spacing w:before="260" w:after="260" w:line="416" w:lineRule="auto"/>
      <w:outlineLvl w:val="1"/>
    </w:pPr>
    <w:rPr>
      <w:rFonts w:ascii="Arial" w:hAnsi="Arial" w:eastAsia="黑体"/>
      <w:b/>
      <w:bCs/>
      <w:sz w:val="32"/>
      <w:szCs w:val="32"/>
    </w:rPr>
  </w:style>
  <w:style w:type="paragraph" w:customStyle="1" w:styleId="240">
    <w:name w:val="标题 31"/>
    <w:basedOn w:val="3"/>
    <w:next w:val="52"/>
    <w:qFormat/>
    <w:uiPriority w:val="0"/>
    <w:pPr>
      <w:keepNext/>
      <w:keepLines/>
      <w:spacing w:before="260" w:after="260" w:line="416" w:lineRule="auto"/>
      <w:outlineLvl w:val="2"/>
    </w:pPr>
    <w:rPr>
      <w:b/>
      <w:bCs/>
      <w:sz w:val="32"/>
      <w:szCs w:val="32"/>
    </w:rPr>
  </w:style>
  <w:style w:type="paragraph" w:customStyle="1" w:styleId="241">
    <w:name w:val="标题 51"/>
    <w:basedOn w:val="3"/>
    <w:next w:val="3"/>
    <w:qFormat/>
    <w:uiPriority w:val="0"/>
    <w:pPr>
      <w:keepNext/>
      <w:keepLines/>
      <w:tabs>
        <w:tab w:val="left" w:pos="1008"/>
      </w:tabs>
      <w:spacing w:before="280" w:after="290" w:line="376" w:lineRule="auto"/>
      <w:ind w:left="1008" w:hanging="1008"/>
      <w:outlineLvl w:val="4"/>
    </w:pPr>
    <w:rPr>
      <w:b/>
      <w:bCs/>
      <w:sz w:val="28"/>
      <w:szCs w:val="28"/>
    </w:rPr>
  </w:style>
  <w:style w:type="paragraph" w:customStyle="1" w:styleId="242">
    <w:name w:val="标题 61"/>
    <w:basedOn w:val="3"/>
    <w:next w:val="243"/>
    <w:qFormat/>
    <w:uiPriority w:val="0"/>
    <w:pPr>
      <w:keepNext/>
      <w:keepLines/>
      <w:tabs>
        <w:tab w:val="left" w:pos="1152"/>
      </w:tabs>
      <w:spacing w:before="120" w:after="120" w:line="400" w:lineRule="exact"/>
      <w:ind w:left="1152" w:hanging="1152"/>
      <w:outlineLvl w:val="5"/>
    </w:pPr>
    <w:rPr>
      <w:rFonts w:ascii="Arial" w:hAnsi="Arial"/>
      <w:b/>
      <w:sz w:val="24"/>
      <w:szCs w:val="24"/>
    </w:rPr>
  </w:style>
  <w:style w:type="paragraph" w:customStyle="1" w:styleId="243">
    <w:name w:val="正文缩进11"/>
    <w:basedOn w:val="3"/>
    <w:qFormat/>
    <w:uiPriority w:val="0"/>
    <w:pPr>
      <w:ind w:firstLine="420"/>
    </w:pPr>
    <w:rPr>
      <w:sz w:val="24"/>
      <w:szCs w:val="24"/>
    </w:rPr>
  </w:style>
  <w:style w:type="paragraph" w:customStyle="1" w:styleId="244">
    <w:name w:val="标题 71"/>
    <w:basedOn w:val="3"/>
    <w:next w:val="3"/>
    <w:qFormat/>
    <w:uiPriority w:val="0"/>
    <w:pPr>
      <w:keepNext/>
      <w:keepLines/>
      <w:tabs>
        <w:tab w:val="left" w:pos="1296"/>
      </w:tabs>
      <w:spacing w:before="240" w:after="64" w:line="320" w:lineRule="auto"/>
      <w:ind w:left="1296" w:hanging="1296"/>
      <w:outlineLvl w:val="6"/>
    </w:pPr>
    <w:rPr>
      <w:b/>
      <w:bCs/>
      <w:sz w:val="24"/>
      <w:szCs w:val="24"/>
    </w:rPr>
  </w:style>
  <w:style w:type="paragraph" w:customStyle="1" w:styleId="245">
    <w:name w:val="标题 81"/>
    <w:basedOn w:val="3"/>
    <w:next w:val="3"/>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customStyle="1" w:styleId="246">
    <w:name w:val="标题 91"/>
    <w:basedOn w:val="3"/>
    <w:next w:val="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customStyle="1" w:styleId="247">
    <w:name w:val="默认段落字体1"/>
    <w:qFormat/>
    <w:uiPriority w:val="0"/>
  </w:style>
  <w:style w:type="table" w:customStyle="1" w:styleId="248">
    <w:name w:val="普通表格1"/>
    <w:qFormat/>
    <w:uiPriority w:val="0"/>
    <w:tblPr>
      <w:tblCellMar>
        <w:top w:w="0" w:type="dxa"/>
        <w:left w:w="0" w:type="dxa"/>
        <w:bottom w:w="0" w:type="dxa"/>
        <w:right w:w="0" w:type="dxa"/>
      </w:tblCellMar>
    </w:tblPr>
  </w:style>
  <w:style w:type="character" w:customStyle="1" w:styleId="249">
    <w:name w:val="标题 1 Char"/>
    <w:link w:val="238"/>
    <w:qFormat/>
    <w:uiPriority w:val="0"/>
    <w:rPr>
      <w:rFonts w:eastAsia="宋体"/>
      <w:b/>
      <w:bCs/>
      <w:sz w:val="44"/>
      <w:szCs w:val="44"/>
      <w:lang w:val="en-US" w:eastAsia="zh-CN" w:bidi="ar-SA"/>
    </w:rPr>
  </w:style>
  <w:style w:type="character" w:customStyle="1" w:styleId="250">
    <w:name w:val="标题 2 Char"/>
    <w:link w:val="239"/>
    <w:qFormat/>
    <w:uiPriority w:val="0"/>
    <w:rPr>
      <w:rFonts w:ascii="Arial" w:hAnsi="Arial" w:eastAsia="黑体"/>
      <w:b/>
      <w:bCs/>
      <w:sz w:val="32"/>
      <w:szCs w:val="32"/>
      <w:lang w:val="en-US" w:eastAsia="zh-CN" w:bidi="ar-SA"/>
    </w:rPr>
  </w:style>
  <w:style w:type="paragraph" w:customStyle="1" w:styleId="251">
    <w:name w:val="列表项目符号1"/>
    <w:basedOn w:val="3"/>
    <w:qFormat/>
    <w:uiPriority w:val="0"/>
    <w:pPr>
      <w:numPr>
        <w:ilvl w:val="0"/>
        <w:numId w:val="1"/>
      </w:numPr>
      <w:tabs>
        <w:tab w:val="left" w:pos="420"/>
      </w:tabs>
    </w:pPr>
    <w:rPr>
      <w:sz w:val="24"/>
      <w:szCs w:val="20"/>
    </w:rPr>
  </w:style>
  <w:style w:type="paragraph" w:customStyle="1" w:styleId="252">
    <w:name w:val="文档结构图1"/>
    <w:basedOn w:val="3"/>
    <w:link w:val="253"/>
    <w:semiHidden/>
    <w:qFormat/>
    <w:uiPriority w:val="0"/>
    <w:pPr>
      <w:shd w:val="clear" w:color="auto" w:fill="000080"/>
    </w:pPr>
    <w:rPr>
      <w:sz w:val="20"/>
      <w:szCs w:val="24"/>
    </w:rPr>
  </w:style>
  <w:style w:type="character" w:customStyle="1" w:styleId="253">
    <w:name w:val="文档结构图 Char"/>
    <w:link w:val="252"/>
    <w:semiHidden/>
    <w:qFormat/>
    <w:uiPriority w:val="0"/>
    <w:rPr>
      <w:rFonts w:ascii="Times New Roman" w:hAnsi="Times New Roman" w:eastAsia="宋体"/>
      <w:sz w:val="24"/>
      <w:szCs w:val="24"/>
      <w:shd w:val="clear" w:color="auto" w:fill="000080"/>
    </w:rPr>
  </w:style>
  <w:style w:type="paragraph" w:customStyle="1" w:styleId="254">
    <w:name w:val="批注文字1"/>
    <w:basedOn w:val="3"/>
    <w:link w:val="255"/>
    <w:semiHidden/>
    <w:qFormat/>
    <w:uiPriority w:val="0"/>
    <w:pPr>
      <w:jc w:val="left"/>
    </w:pPr>
    <w:rPr>
      <w:sz w:val="20"/>
      <w:szCs w:val="24"/>
    </w:rPr>
  </w:style>
  <w:style w:type="character" w:customStyle="1" w:styleId="255">
    <w:name w:val="批注文字 Char"/>
    <w:link w:val="254"/>
    <w:semiHidden/>
    <w:qFormat/>
    <w:uiPriority w:val="0"/>
    <w:rPr>
      <w:rFonts w:ascii="Times New Roman" w:hAnsi="Times New Roman" w:eastAsia="宋体"/>
      <w:sz w:val="24"/>
      <w:szCs w:val="24"/>
    </w:rPr>
  </w:style>
  <w:style w:type="paragraph" w:customStyle="1" w:styleId="256">
    <w:name w:val="正文首行缩进1"/>
    <w:basedOn w:val="7"/>
    <w:next w:val="257"/>
    <w:qFormat/>
    <w:uiPriority w:val="0"/>
    <w:pPr>
      <w:spacing w:line="360" w:lineRule="auto"/>
      <w:ind w:firstLine="420"/>
    </w:pPr>
    <w:rPr>
      <w:sz w:val="24"/>
      <w:szCs w:val="20"/>
    </w:rPr>
  </w:style>
  <w:style w:type="paragraph" w:customStyle="1" w:styleId="257">
    <w:name w:val="正文首行缩进 21"/>
    <w:basedOn w:val="7"/>
    <w:next w:val="3"/>
    <w:qFormat/>
    <w:uiPriority w:val="0"/>
    <w:pPr>
      <w:spacing w:after="0" w:line="360" w:lineRule="auto"/>
      <w:ind w:firstLine="200"/>
    </w:pPr>
  </w:style>
  <w:style w:type="character" w:customStyle="1" w:styleId="258">
    <w:name w:val="正文文本 Char"/>
    <w:link w:val="7"/>
    <w:semiHidden/>
    <w:qFormat/>
    <w:uiPriority w:val="0"/>
  </w:style>
  <w:style w:type="paragraph" w:customStyle="1" w:styleId="259">
    <w:name w:val="正文文本缩进1"/>
    <w:basedOn w:val="3"/>
    <w:link w:val="260"/>
    <w:qFormat/>
    <w:uiPriority w:val="0"/>
    <w:pPr>
      <w:spacing w:after="120"/>
      <w:ind w:left="420"/>
    </w:pPr>
    <w:rPr>
      <w:sz w:val="20"/>
      <w:szCs w:val="24"/>
    </w:rPr>
  </w:style>
  <w:style w:type="character" w:customStyle="1" w:styleId="260">
    <w:name w:val="正文文本缩进 Char"/>
    <w:link w:val="259"/>
    <w:qFormat/>
    <w:uiPriority w:val="0"/>
    <w:rPr>
      <w:rFonts w:ascii="Times New Roman" w:hAnsi="Times New Roman" w:eastAsia="宋体"/>
      <w:sz w:val="24"/>
      <w:szCs w:val="24"/>
    </w:rPr>
  </w:style>
  <w:style w:type="paragraph" w:customStyle="1" w:styleId="261">
    <w:name w:val="文本块1"/>
    <w:basedOn w:val="3"/>
    <w:qFormat/>
    <w:uiPriority w:val="0"/>
  </w:style>
  <w:style w:type="paragraph" w:customStyle="1" w:styleId="262">
    <w:name w:val="索引 41"/>
    <w:basedOn w:val="3"/>
    <w:next w:val="3"/>
    <w:semiHidden/>
    <w:qFormat/>
    <w:uiPriority w:val="0"/>
    <w:pPr>
      <w:ind w:left="1260"/>
    </w:pPr>
    <w:rPr>
      <w:rFonts w:ascii="Calibri" w:hAnsi="Calibri" w:eastAsia="Calibri"/>
      <w:sz w:val="20"/>
      <w:szCs w:val="20"/>
      <w:lang w:val="zh-CN"/>
    </w:rPr>
  </w:style>
  <w:style w:type="paragraph" w:customStyle="1" w:styleId="263">
    <w:name w:val="目录 31"/>
    <w:basedOn w:val="3"/>
    <w:next w:val="3"/>
    <w:qFormat/>
    <w:uiPriority w:val="0"/>
    <w:pPr>
      <w:ind w:left="840"/>
    </w:pPr>
    <w:rPr>
      <w:sz w:val="24"/>
      <w:szCs w:val="24"/>
    </w:rPr>
  </w:style>
  <w:style w:type="paragraph" w:customStyle="1" w:styleId="264">
    <w:name w:val="纯文本1"/>
    <w:basedOn w:val="3"/>
    <w:link w:val="265"/>
    <w:qFormat/>
    <w:uiPriority w:val="0"/>
    <w:pPr>
      <w:widowControl/>
      <w:spacing w:before="100" w:beforeAutospacing="1" w:after="100" w:afterAutospacing="1"/>
      <w:jc w:val="left"/>
    </w:pPr>
    <w:rPr>
      <w:rFonts w:ascii="宋体" w:hAnsi="宋体"/>
      <w:sz w:val="24"/>
      <w:szCs w:val="24"/>
    </w:rPr>
  </w:style>
  <w:style w:type="character" w:customStyle="1" w:styleId="265">
    <w:name w:val="纯文本 Char"/>
    <w:link w:val="264"/>
    <w:qFormat/>
    <w:uiPriority w:val="0"/>
    <w:rPr>
      <w:rFonts w:ascii="宋体" w:hAnsi="宋体" w:eastAsia="宋体"/>
      <w:sz w:val="24"/>
      <w:szCs w:val="24"/>
      <w:lang w:val="en-US" w:eastAsia="zh-CN" w:bidi="ar-SA"/>
    </w:rPr>
  </w:style>
  <w:style w:type="paragraph" w:customStyle="1" w:styleId="266">
    <w:name w:val="日期1"/>
    <w:basedOn w:val="3"/>
    <w:next w:val="3"/>
    <w:qFormat/>
    <w:uiPriority w:val="0"/>
    <w:pPr>
      <w:ind w:left="100"/>
    </w:pPr>
  </w:style>
  <w:style w:type="paragraph" w:customStyle="1" w:styleId="267">
    <w:name w:val="正文文本缩进 21"/>
    <w:basedOn w:val="3"/>
    <w:qFormat/>
    <w:uiPriority w:val="0"/>
    <w:pPr>
      <w:spacing w:after="120" w:line="480" w:lineRule="auto"/>
      <w:ind w:left="420"/>
    </w:pPr>
    <w:rPr>
      <w:sz w:val="24"/>
      <w:szCs w:val="24"/>
    </w:rPr>
  </w:style>
  <w:style w:type="paragraph" w:customStyle="1" w:styleId="268">
    <w:name w:val="批注框文本1"/>
    <w:basedOn w:val="3"/>
    <w:link w:val="269"/>
    <w:semiHidden/>
    <w:qFormat/>
    <w:uiPriority w:val="0"/>
    <w:rPr>
      <w:sz w:val="18"/>
      <w:szCs w:val="18"/>
    </w:rPr>
  </w:style>
  <w:style w:type="character" w:customStyle="1" w:styleId="269">
    <w:name w:val="批注框文本 Char"/>
    <w:link w:val="268"/>
    <w:semiHidden/>
    <w:qFormat/>
    <w:uiPriority w:val="0"/>
    <w:rPr>
      <w:rFonts w:ascii="Times New Roman" w:hAnsi="Times New Roman" w:eastAsia="宋体"/>
      <w:sz w:val="18"/>
      <w:szCs w:val="18"/>
    </w:rPr>
  </w:style>
  <w:style w:type="paragraph" w:customStyle="1" w:styleId="270">
    <w:name w:val="页脚1"/>
    <w:basedOn w:val="3"/>
    <w:link w:val="271"/>
    <w:qFormat/>
    <w:uiPriority w:val="0"/>
    <w:pPr>
      <w:tabs>
        <w:tab w:val="center" w:pos="4153"/>
        <w:tab w:val="right" w:pos="8306"/>
      </w:tabs>
      <w:jc w:val="left"/>
    </w:pPr>
    <w:rPr>
      <w:sz w:val="18"/>
      <w:szCs w:val="18"/>
    </w:rPr>
  </w:style>
  <w:style w:type="character" w:customStyle="1" w:styleId="271">
    <w:name w:val="页脚 Char"/>
    <w:link w:val="270"/>
    <w:semiHidden/>
    <w:qFormat/>
    <w:uiPriority w:val="0"/>
    <w:rPr>
      <w:sz w:val="18"/>
      <w:szCs w:val="18"/>
    </w:rPr>
  </w:style>
  <w:style w:type="character" w:customStyle="1" w:styleId="272">
    <w:name w:val="页眉 Char"/>
    <w:link w:val="2"/>
    <w:semiHidden/>
    <w:qFormat/>
    <w:uiPriority w:val="0"/>
    <w:rPr>
      <w:sz w:val="18"/>
      <w:szCs w:val="18"/>
    </w:rPr>
  </w:style>
  <w:style w:type="paragraph" w:customStyle="1" w:styleId="273">
    <w:name w:val="目录 11"/>
    <w:basedOn w:val="3"/>
    <w:next w:val="3"/>
    <w:qFormat/>
    <w:uiPriority w:val="0"/>
    <w:rPr>
      <w:sz w:val="24"/>
      <w:szCs w:val="24"/>
    </w:rPr>
  </w:style>
  <w:style w:type="paragraph" w:customStyle="1" w:styleId="274">
    <w:name w:val="普通(网站)1"/>
    <w:basedOn w:val="3"/>
    <w:qFormat/>
    <w:uiPriority w:val="0"/>
    <w:pPr>
      <w:widowControl/>
      <w:spacing w:before="100" w:beforeAutospacing="1" w:after="100" w:afterAutospacing="1"/>
      <w:jc w:val="left"/>
    </w:pPr>
    <w:rPr>
      <w:rFonts w:ascii="宋体" w:hAnsi="宋体"/>
      <w:sz w:val="24"/>
      <w:szCs w:val="24"/>
    </w:rPr>
  </w:style>
  <w:style w:type="paragraph" w:customStyle="1" w:styleId="275">
    <w:name w:val="标题1"/>
    <w:basedOn w:val="3"/>
    <w:next w:val="3"/>
    <w:qFormat/>
    <w:uiPriority w:val="0"/>
    <w:pPr>
      <w:spacing w:before="240" w:after="60"/>
      <w:jc w:val="center"/>
      <w:outlineLvl w:val="0"/>
    </w:pPr>
    <w:rPr>
      <w:rFonts w:ascii="Cambria" w:hAnsi="Cambria"/>
      <w:b/>
      <w:bCs/>
      <w:sz w:val="32"/>
      <w:szCs w:val="32"/>
    </w:rPr>
  </w:style>
  <w:style w:type="paragraph" w:customStyle="1" w:styleId="276">
    <w:name w:val="批注主题1"/>
    <w:basedOn w:val="254"/>
    <w:next w:val="254"/>
    <w:link w:val="277"/>
    <w:semiHidden/>
    <w:qFormat/>
    <w:uiPriority w:val="0"/>
    <w:rPr>
      <w:b/>
      <w:bCs/>
    </w:rPr>
  </w:style>
  <w:style w:type="character" w:customStyle="1" w:styleId="277">
    <w:name w:val="批注主题 Char"/>
    <w:link w:val="276"/>
    <w:semiHidden/>
    <w:qFormat/>
    <w:uiPriority w:val="0"/>
    <w:rPr>
      <w:rFonts w:ascii="Times New Roman" w:hAnsi="Times New Roman" w:eastAsia="宋体"/>
      <w:b/>
      <w:bCs/>
      <w:sz w:val="24"/>
      <w:szCs w:val="24"/>
    </w:rPr>
  </w:style>
  <w:style w:type="table" w:customStyle="1" w:styleId="278">
    <w:name w:val="网格型1"/>
    <w:basedOn w:val="248"/>
    <w:qFormat/>
    <w:uiPriority w:val="0"/>
    <w:pPr>
      <w:widowControl w:val="0"/>
      <w:jc w:val="both"/>
    </w:pPr>
    <w:tblPr>
      <w:tblCellMar>
        <w:top w:w="0" w:type="dxa"/>
        <w:left w:w="0" w:type="dxa"/>
        <w:bottom w:w="0" w:type="dxa"/>
        <w:right w:w="0" w:type="dxa"/>
      </w:tblCellMar>
    </w:tblPr>
  </w:style>
  <w:style w:type="character" w:customStyle="1" w:styleId="279">
    <w:name w:val="要点1"/>
    <w:qFormat/>
    <w:uiPriority w:val="0"/>
    <w:rPr>
      <w:rFonts w:ascii="Tahoma" w:hAnsi="Tahoma"/>
      <w:b/>
      <w:bCs/>
      <w:sz w:val="24"/>
      <w:szCs w:val="20"/>
    </w:rPr>
  </w:style>
  <w:style w:type="character" w:customStyle="1" w:styleId="280">
    <w:name w:val="页码1"/>
    <w:qFormat/>
    <w:uiPriority w:val="0"/>
  </w:style>
  <w:style w:type="character" w:customStyle="1" w:styleId="281">
    <w:name w:val="已访问的超链接1"/>
    <w:qFormat/>
    <w:uiPriority w:val="0"/>
    <w:rPr>
      <w:color w:val="800080"/>
      <w:u w:val="none"/>
    </w:rPr>
  </w:style>
  <w:style w:type="character" w:customStyle="1" w:styleId="282">
    <w:name w:val="强调1"/>
    <w:qFormat/>
    <w:uiPriority w:val="0"/>
    <w:rPr>
      <w:rFonts w:ascii="Tahoma" w:hAnsi="Tahoma"/>
      <w:sz w:val="24"/>
      <w:szCs w:val="20"/>
    </w:rPr>
  </w:style>
  <w:style w:type="character" w:customStyle="1" w:styleId="283">
    <w:name w:val="HTML 定义1"/>
    <w:qFormat/>
    <w:uiPriority w:val="0"/>
  </w:style>
  <w:style w:type="character" w:customStyle="1" w:styleId="284">
    <w:name w:val="HTML 打字机1"/>
    <w:qFormat/>
    <w:uiPriority w:val="0"/>
    <w:rPr>
      <w:rFonts w:ascii="monospace" w:hAnsi="monospace" w:eastAsia="monospace"/>
      <w:sz w:val="20"/>
    </w:rPr>
  </w:style>
  <w:style w:type="character" w:customStyle="1" w:styleId="285">
    <w:name w:val="HTML 缩写1"/>
    <w:qFormat/>
    <w:uiPriority w:val="0"/>
  </w:style>
  <w:style w:type="character" w:customStyle="1" w:styleId="286">
    <w:name w:val="HTML 变量1"/>
    <w:qFormat/>
    <w:uiPriority w:val="0"/>
  </w:style>
  <w:style w:type="character" w:customStyle="1" w:styleId="287">
    <w:name w:val="超链接1"/>
    <w:qFormat/>
    <w:uiPriority w:val="0"/>
    <w:rPr>
      <w:color w:val="0000FF"/>
      <w:u w:val="none"/>
    </w:rPr>
  </w:style>
  <w:style w:type="character" w:customStyle="1" w:styleId="288">
    <w:name w:val="HTML 代码1"/>
    <w:qFormat/>
    <w:uiPriority w:val="0"/>
    <w:rPr>
      <w:rFonts w:ascii="monospace" w:hAnsi="monospace" w:eastAsia="monospace"/>
      <w:sz w:val="20"/>
    </w:rPr>
  </w:style>
  <w:style w:type="character" w:customStyle="1" w:styleId="289">
    <w:name w:val="批注引用1"/>
    <w:semiHidden/>
    <w:qFormat/>
    <w:uiPriority w:val="0"/>
    <w:rPr>
      <w:sz w:val="21"/>
      <w:szCs w:val="21"/>
    </w:rPr>
  </w:style>
  <w:style w:type="character" w:customStyle="1" w:styleId="290">
    <w:name w:val="HTML 引文1"/>
    <w:qFormat/>
    <w:uiPriority w:val="0"/>
  </w:style>
  <w:style w:type="character" w:customStyle="1" w:styleId="291">
    <w:name w:val="HTML 键盘1"/>
    <w:qFormat/>
    <w:uiPriority w:val="0"/>
    <w:rPr>
      <w:rFonts w:ascii="monospace" w:hAnsi="monospace" w:eastAsia="monospace"/>
      <w:sz w:val="20"/>
    </w:rPr>
  </w:style>
  <w:style w:type="character" w:customStyle="1" w:styleId="292">
    <w:name w:val="HTML 样本1"/>
    <w:qFormat/>
    <w:uiPriority w:val="0"/>
    <w:rPr>
      <w:rFonts w:ascii="monospace" w:hAnsi="monospace" w:eastAsia="monospace"/>
    </w:rPr>
  </w:style>
  <w:style w:type="character" w:customStyle="1" w:styleId="293">
    <w:name w:val="info"/>
    <w:qFormat/>
    <w:uiPriority w:val="0"/>
  </w:style>
  <w:style w:type="character" w:customStyle="1" w:styleId="294">
    <w:name w:val="apple-converted-space"/>
    <w:qFormat/>
    <w:uiPriority w:val="0"/>
  </w:style>
  <w:style w:type="character" w:customStyle="1" w:styleId="295">
    <w:name w:val="style44"/>
    <w:qFormat/>
    <w:uiPriority w:val="0"/>
  </w:style>
  <w:style w:type="character" w:customStyle="1" w:styleId="296">
    <w:name w:val="hover"/>
    <w:qFormat/>
    <w:uiPriority w:val="0"/>
    <w:rPr>
      <w:shd w:val="clear" w:color="auto" w:fill="EEEEEE"/>
    </w:rPr>
  </w:style>
  <w:style w:type="character" w:customStyle="1" w:styleId="297">
    <w:name w:val="old"/>
    <w:qFormat/>
    <w:uiPriority w:val="0"/>
    <w:rPr>
      <w:color w:val="999999"/>
    </w:rPr>
  </w:style>
  <w:style w:type="character" w:customStyle="1" w:styleId="298">
    <w:name w:val="param-name"/>
    <w:qFormat/>
    <w:uiPriority w:val="0"/>
  </w:style>
  <w:style w:type="character" w:customStyle="1" w:styleId="299">
    <w:name w:val="glyphicon"/>
    <w:qFormat/>
    <w:uiPriority w:val="0"/>
  </w:style>
  <w:style w:type="character" w:customStyle="1" w:styleId="300">
    <w:name w:val="样式 正文文本缩进 + 左  0 字符 Char"/>
    <w:link w:val="301"/>
    <w:qFormat/>
    <w:uiPriority w:val="0"/>
    <w:rPr>
      <w:rFonts w:ascii="Times New Roman" w:hAnsi="Times New Roman" w:eastAsia="宋体"/>
      <w:sz w:val="24"/>
      <w:szCs w:val="20"/>
    </w:rPr>
  </w:style>
  <w:style w:type="paragraph" w:customStyle="1" w:styleId="301">
    <w:name w:val="样式 正文文本缩进 + 左  0 字符"/>
    <w:basedOn w:val="259"/>
    <w:link w:val="300"/>
    <w:qFormat/>
    <w:uiPriority w:val="0"/>
    <w:pPr>
      <w:spacing w:after="0" w:line="360" w:lineRule="auto"/>
      <w:ind w:left="0" w:firstLine="250"/>
    </w:pPr>
    <w:rPr>
      <w:sz w:val="24"/>
      <w:szCs w:val="20"/>
    </w:rPr>
  </w:style>
  <w:style w:type="character" w:customStyle="1" w:styleId="302">
    <w:name w:val="flname8"/>
    <w:qFormat/>
    <w:uiPriority w:val="0"/>
  </w:style>
  <w:style w:type="character" w:customStyle="1" w:styleId="303">
    <w:name w:val="f31"/>
    <w:qFormat/>
    <w:uiPriority w:val="0"/>
    <w:rPr>
      <w:rFonts w:ascii="宋体" w:hAnsi="宋体" w:eastAsia="宋体"/>
      <w:color w:val="000000"/>
      <w:sz w:val="20"/>
      <w:szCs w:val="20"/>
    </w:rPr>
  </w:style>
  <w:style w:type="character" w:customStyle="1" w:styleId="304">
    <w:name w:val="hover1"/>
    <w:qFormat/>
    <w:uiPriority w:val="0"/>
    <w:rPr>
      <w:shd w:val="clear" w:color="auto" w:fill="EEEEEE"/>
    </w:rPr>
  </w:style>
  <w:style w:type="character" w:customStyle="1" w:styleId="305">
    <w:name w:val="hour_pm"/>
    <w:qFormat/>
    <w:uiPriority w:val="0"/>
  </w:style>
  <w:style w:type="character" w:customStyle="1" w:styleId="306">
    <w:name w:val="Table Text Char1"/>
    <w:link w:val="307"/>
    <w:qFormat/>
    <w:uiPriority w:val="0"/>
    <w:rPr>
      <w:rFonts w:ascii="Arial" w:hAnsi="Arial"/>
      <w:sz w:val="18"/>
      <w:szCs w:val="18"/>
      <w:lang w:val="en-US" w:eastAsia="zh-CN" w:bidi="ar-SA"/>
    </w:rPr>
  </w:style>
  <w:style w:type="paragraph" w:customStyle="1" w:styleId="307">
    <w:name w:val="Table Text"/>
    <w:link w:val="306"/>
    <w:qFormat/>
    <w:uiPriority w:val="0"/>
    <w:pPr>
      <w:spacing w:before="80" w:after="80"/>
    </w:pPr>
    <w:rPr>
      <w:rFonts w:hint="default" w:ascii="Arial" w:hAnsi="Arial" w:eastAsia="宋体" w:cs="Times New Roman"/>
      <w:sz w:val="18"/>
      <w:szCs w:val="18"/>
      <w:lang w:val="en-US" w:eastAsia="zh-CN" w:bidi="ar-SA"/>
    </w:rPr>
  </w:style>
  <w:style w:type="character" w:customStyle="1" w:styleId="308">
    <w:name w:val="样式 正文缩进 + 首行缩进:  2 字符 Char"/>
    <w:link w:val="309"/>
    <w:qFormat/>
    <w:uiPriority w:val="0"/>
    <w:rPr>
      <w:rFonts w:ascii="Times New Roman" w:hAnsi="Times New Roman" w:eastAsia="宋体"/>
      <w:sz w:val="24"/>
      <w:szCs w:val="20"/>
    </w:rPr>
  </w:style>
  <w:style w:type="paragraph" w:customStyle="1" w:styleId="309">
    <w:name w:val="样式 正文缩进 + 首行缩进:  2 字符"/>
    <w:basedOn w:val="243"/>
    <w:link w:val="308"/>
    <w:qFormat/>
    <w:uiPriority w:val="0"/>
    <w:pPr>
      <w:spacing w:line="360" w:lineRule="auto"/>
      <w:ind w:firstLine="200"/>
    </w:pPr>
    <w:rPr>
      <w:szCs w:val="20"/>
    </w:rPr>
  </w:style>
  <w:style w:type="character" w:customStyle="1" w:styleId="310">
    <w:name w:val="Char Char10"/>
    <w:qFormat/>
    <w:uiPriority w:val="0"/>
    <w:rPr>
      <w:rFonts w:ascii="Tahoma" w:hAnsi="Tahoma"/>
      <w:b/>
      <w:bCs/>
      <w:sz w:val="44"/>
      <w:szCs w:val="44"/>
    </w:rPr>
  </w:style>
  <w:style w:type="character" w:customStyle="1" w:styleId="311">
    <w:name w:val="param-name param-explain"/>
    <w:qFormat/>
    <w:uiPriority w:val="0"/>
  </w:style>
  <w:style w:type="character" w:customStyle="1" w:styleId="312">
    <w:name w:val="hour_am"/>
    <w:link w:val="3"/>
    <w:qFormat/>
    <w:uiPriority w:val="0"/>
  </w:style>
  <w:style w:type="paragraph" w:customStyle="1" w:styleId="313">
    <w:name w:val="Char1 Char Char Char"/>
    <w:basedOn w:val="3"/>
    <w:qFormat/>
    <w:uiPriority w:val="0"/>
    <w:rPr>
      <w:rFonts w:ascii="Tahoma" w:hAnsi="Tahoma"/>
      <w:sz w:val="24"/>
      <w:szCs w:val="20"/>
    </w:rPr>
  </w:style>
  <w:style w:type="paragraph" w:customStyle="1" w:styleId="314">
    <w:name w:val="reader-word-layer reader-word-s49-23"/>
    <w:basedOn w:val="3"/>
    <w:qFormat/>
    <w:uiPriority w:val="0"/>
    <w:pPr>
      <w:widowControl/>
      <w:spacing w:before="100" w:beforeAutospacing="1" w:after="100" w:afterAutospacing="1"/>
      <w:jc w:val="left"/>
    </w:pPr>
    <w:rPr>
      <w:rFonts w:ascii="宋体" w:hAnsi="宋体"/>
      <w:sz w:val="24"/>
      <w:szCs w:val="24"/>
    </w:rPr>
  </w:style>
  <w:style w:type="paragraph" w:customStyle="1" w:styleId="315">
    <w:name w:val="小标题"/>
    <w:basedOn w:val="7"/>
    <w:qFormat/>
    <w:uiPriority w:val="0"/>
    <w:pPr>
      <w:numPr>
        <w:ilvl w:val="0"/>
        <w:numId w:val="2"/>
      </w:numPr>
      <w:tabs>
        <w:tab w:val="left" w:pos="480"/>
      </w:tabs>
      <w:spacing w:before="60" w:after="60" w:line="360" w:lineRule="auto"/>
    </w:pPr>
    <w:rPr>
      <w:rFonts w:eastAsia="黑体"/>
      <w:color w:val="000000"/>
      <w:sz w:val="24"/>
      <w:szCs w:val="20"/>
    </w:rPr>
  </w:style>
  <w:style w:type="paragraph" w:customStyle="1" w:styleId="316">
    <w:name w:val="msonospacing"/>
    <w:basedOn w:val="3"/>
    <w:qFormat/>
    <w:uiPriority w:val="0"/>
    <w:rPr>
      <w:szCs w:val="24"/>
      <w:lang w:bidi="en-US"/>
    </w:rPr>
  </w:style>
  <w:style w:type="paragraph" w:customStyle="1" w:styleId="317">
    <w:name w:val="列出段落1"/>
    <w:basedOn w:val="3"/>
    <w:qFormat/>
    <w:uiPriority w:val="0"/>
    <w:pPr>
      <w:ind w:firstLine="420"/>
    </w:pPr>
  </w:style>
  <w:style w:type="paragraph" w:customStyle="1" w:styleId="318">
    <w:name w:val="正文 A"/>
    <w:qFormat/>
    <w:uiPriority w:val="0"/>
    <w:pPr>
      <w:framePr w:wrap="around" w:vAnchor="margin" w:hAnchor="text" w:yAlign="top"/>
      <w:widowControl w:val="0"/>
      <w:jc w:val="both"/>
    </w:pPr>
    <w:rPr>
      <w:rFonts w:hint="default" w:ascii="Calibri" w:hAnsi="Calibri" w:eastAsia="Calibri" w:cs="Times New Roman"/>
      <w:color w:val="000000"/>
      <w:sz w:val="21"/>
      <w:szCs w:val="21"/>
      <w:lang w:val="en-US" w:eastAsia="zh-CN" w:bidi="ar-SA"/>
    </w:rPr>
  </w:style>
  <w:style w:type="paragraph" w:customStyle="1" w:styleId="319">
    <w:name w:val="Char Char Char"/>
    <w:basedOn w:val="3"/>
    <w:qFormat/>
    <w:uiPriority w:val="0"/>
    <w:pPr>
      <w:numPr>
        <w:ilvl w:val="0"/>
        <w:numId w:val="3"/>
      </w:numPr>
      <w:tabs>
        <w:tab w:val="left" w:pos="360"/>
      </w:tabs>
      <w:ind w:left="0" w:firstLine="0"/>
    </w:pPr>
    <w:rPr>
      <w:rFonts w:ascii="Tahoma" w:hAnsi="Tahoma"/>
      <w:sz w:val="24"/>
      <w:szCs w:val="20"/>
    </w:rPr>
  </w:style>
  <w:style w:type="paragraph" w:customStyle="1" w:styleId="320">
    <w:name w:val="reader-word-layer reader-word-s49-22 reader-word-s49-24"/>
    <w:basedOn w:val="3"/>
    <w:qFormat/>
    <w:uiPriority w:val="0"/>
    <w:pPr>
      <w:widowControl/>
      <w:spacing w:before="100" w:beforeAutospacing="1" w:after="100" w:afterAutospacing="1"/>
      <w:jc w:val="left"/>
    </w:pPr>
    <w:rPr>
      <w:rFonts w:ascii="宋体" w:hAnsi="宋体"/>
      <w:sz w:val="24"/>
      <w:szCs w:val="24"/>
    </w:rPr>
  </w:style>
  <w:style w:type="paragraph" w:customStyle="1" w:styleId="321">
    <w:name w:val="p15"/>
    <w:basedOn w:val="3"/>
    <w:qFormat/>
    <w:uiPriority w:val="0"/>
    <w:pPr>
      <w:widowControl/>
      <w:ind w:firstLine="420"/>
    </w:pPr>
    <w:rPr>
      <w:szCs w:val="21"/>
    </w:rPr>
  </w:style>
  <w:style w:type="paragraph" w:customStyle="1" w:styleId="322">
    <w:name w:val="Terminal-type"/>
    <w:qFormat/>
    <w:uiPriority w:val="0"/>
    <w:pPr>
      <w:spacing w:line="0" w:lineRule="atLeast"/>
      <w:ind w:left="1678"/>
    </w:pPr>
    <w:rPr>
      <w:rFonts w:hint="default" w:ascii="Courier New" w:hAnsi="Courier New" w:eastAsia="宋体" w:cs="Times New Roman"/>
      <w:sz w:val="17"/>
      <w:lang w:val="en-US" w:eastAsia="zh-CN" w:bidi="ar-SA"/>
    </w:rPr>
  </w:style>
  <w:style w:type="paragraph" w:customStyle="1" w:styleId="323">
    <w:name w:val="正文1"/>
    <w:next w:val="261"/>
    <w:qFormat/>
    <w:uiPriority w:val="0"/>
    <w:rPr>
      <w:rFonts w:hint="default" w:ascii="Calibri" w:hAnsi="Calibri" w:eastAsia="宋体" w:cs="Times New Roman"/>
      <w:lang w:val="en-US" w:eastAsia="zh-CN" w:bidi="ar-SA"/>
    </w:rPr>
  </w:style>
  <w:style w:type="paragraph" w:customStyle="1" w:styleId="324">
    <w:name w:val="No Spacing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25">
    <w:name w:val="reader-word-layer reader-word-s49-16 reader-word-s49-21"/>
    <w:basedOn w:val="3"/>
    <w:qFormat/>
    <w:uiPriority w:val="0"/>
    <w:pPr>
      <w:widowControl/>
      <w:spacing w:before="100" w:beforeAutospacing="1" w:after="100" w:afterAutospacing="1"/>
      <w:jc w:val="left"/>
    </w:pPr>
    <w:rPr>
      <w:rFonts w:ascii="宋体" w:hAnsi="宋体"/>
      <w:sz w:val="24"/>
      <w:szCs w:val="24"/>
    </w:rPr>
  </w:style>
  <w:style w:type="paragraph" w:customStyle="1" w:styleId="326">
    <w:name w:val="reader-word-layer reader-word-s49-21 reader-word-s49-25"/>
    <w:basedOn w:val="3"/>
    <w:qFormat/>
    <w:uiPriority w:val="0"/>
    <w:pPr>
      <w:widowControl/>
      <w:spacing w:before="100" w:beforeAutospacing="1" w:after="100" w:afterAutospacing="1"/>
      <w:jc w:val="left"/>
    </w:pPr>
    <w:rPr>
      <w:rFonts w:ascii="宋体" w:hAnsi="宋体"/>
      <w:sz w:val="24"/>
      <w:szCs w:val="24"/>
    </w:rPr>
  </w:style>
  <w:style w:type="paragraph" w:customStyle="1" w:styleId="327">
    <w:name w:val="无间隔1"/>
    <w:qFormat/>
    <w:uiPriority w:val="0"/>
    <w:pPr>
      <w:widowControl w:val="0"/>
      <w:jc w:val="both"/>
    </w:pPr>
    <w:rPr>
      <w:rFonts w:hint="default" w:ascii="Times New Roman" w:hAnsi="Times New Roman" w:eastAsia="宋体" w:cs="Times New Roman"/>
      <w:sz w:val="24"/>
      <w:szCs w:val="24"/>
      <w:lang w:val="en-US" w:eastAsia="zh-CN" w:bidi="ar-SA"/>
    </w:rPr>
  </w:style>
  <w:style w:type="paragraph" w:customStyle="1" w:styleId="328">
    <w:name w:val="p0"/>
    <w:basedOn w:val="3"/>
    <w:qFormat/>
    <w:uiPriority w:val="0"/>
    <w:pPr>
      <w:widowControl/>
    </w:pPr>
    <w:rPr>
      <w:szCs w:val="21"/>
    </w:rPr>
  </w:style>
  <w:style w:type="paragraph" w:customStyle="1" w:styleId="329">
    <w:name w:val="标题3"/>
    <w:basedOn w:val="240"/>
    <w:qFormat/>
    <w:uiPriority w:val="0"/>
    <w:pPr>
      <w:keepNext w:val="0"/>
      <w:keepLines w:val="0"/>
      <w:spacing w:before="0" w:after="0" w:line="360" w:lineRule="auto"/>
    </w:pPr>
    <w:rPr>
      <w:rFonts w:eastAsia="仿宋_GB2312"/>
      <w:b w:val="0"/>
      <w:sz w:val="30"/>
    </w:rPr>
  </w:style>
  <w:style w:type="paragraph" w:customStyle="1" w:styleId="330">
    <w:name w:val="Char Char1 Char Char Char Char Char Char"/>
    <w:basedOn w:val="3"/>
    <w:qFormat/>
    <w:uiPriority w:val="0"/>
    <w:rPr>
      <w:rFonts w:ascii="Tahoma" w:hAnsi="Tahoma"/>
      <w:sz w:val="24"/>
      <w:szCs w:val="24"/>
    </w:rPr>
  </w:style>
  <w:style w:type="paragraph" w:customStyle="1" w:styleId="331">
    <w:name w:val="正文 +小四"/>
    <w:basedOn w:val="3"/>
    <w:qFormat/>
    <w:uiPriority w:val="0"/>
    <w:pPr>
      <w:spacing w:line="360" w:lineRule="auto"/>
    </w:pPr>
    <w:rPr>
      <w:sz w:val="20"/>
      <w:szCs w:val="20"/>
    </w:rPr>
  </w:style>
  <w:style w:type="paragraph" w:customStyle="1" w:styleId="332">
    <w:name w:val="Char1 Char Char Char1"/>
    <w:basedOn w:val="3"/>
    <w:qFormat/>
    <w:uiPriority w:val="0"/>
    <w:rPr>
      <w:rFonts w:ascii="Tahoma" w:hAnsi="Tahoma"/>
      <w:sz w:val="24"/>
      <w:szCs w:val="20"/>
    </w:rPr>
  </w:style>
  <w:style w:type="paragraph" w:customStyle="1" w:styleId="333">
    <w:name w:val="reader-word-layer reader-word-s49-22"/>
    <w:basedOn w:val="3"/>
    <w:qFormat/>
    <w:uiPriority w:val="0"/>
    <w:pPr>
      <w:widowControl/>
      <w:spacing w:before="100" w:beforeAutospacing="1" w:after="100" w:afterAutospacing="1"/>
      <w:jc w:val="left"/>
    </w:pPr>
    <w:rPr>
      <w:rFonts w:ascii="宋体" w:hAnsi="宋体"/>
      <w:sz w:val="24"/>
      <w:szCs w:val="24"/>
    </w:rPr>
  </w:style>
  <w:style w:type="paragraph" w:customStyle="1" w:styleId="334">
    <w:name w:val="Char1 Char Char Char2"/>
    <w:basedOn w:val="3"/>
    <w:qFormat/>
    <w:uiPriority w:val="0"/>
    <w:rPr>
      <w:rFonts w:ascii="Tahoma" w:hAnsi="Tahoma"/>
      <w:sz w:val="24"/>
      <w:szCs w:val="20"/>
    </w:rPr>
  </w:style>
  <w:style w:type="paragraph" w:customStyle="1" w:styleId="335">
    <w:name w:val="Item List in Table"/>
    <w:basedOn w:val="3"/>
    <w:qFormat/>
    <w:uiPriority w:val="0"/>
    <w:pPr>
      <w:numPr>
        <w:ilvl w:val="0"/>
        <w:numId w:val="4"/>
      </w:numPr>
      <w:spacing w:before="80" w:after="80" w:line="240" w:lineRule="atLeast"/>
      <w:ind w:firstLine="0"/>
      <w:jc w:val="left"/>
    </w:pPr>
    <w:rPr>
      <w:color w:val="000000"/>
      <w:szCs w:val="21"/>
    </w:rPr>
  </w:style>
  <w:style w:type="paragraph" w:customStyle="1" w:styleId="336">
    <w:name w:val="reader-word-layer reader-word-s49-21"/>
    <w:basedOn w:val="3"/>
    <w:qFormat/>
    <w:uiPriority w:val="0"/>
    <w:pPr>
      <w:widowControl/>
      <w:spacing w:before="100" w:beforeAutospacing="1" w:after="100" w:afterAutospacing="1"/>
      <w:jc w:val="left"/>
    </w:pPr>
    <w:rPr>
      <w:rFonts w:ascii="宋体" w:hAnsi="宋体"/>
      <w:sz w:val="24"/>
      <w:szCs w:val="24"/>
    </w:rPr>
  </w:style>
  <w:style w:type="paragraph" w:customStyle="1" w:styleId="337">
    <w:name w:val="table"/>
    <w:basedOn w:val="3"/>
    <w:qFormat/>
    <w:uiPriority w:val="0"/>
    <w:pPr>
      <w:widowControl/>
      <w:spacing w:before="100" w:beforeAutospacing="1" w:after="100" w:afterAutospacing="1"/>
      <w:jc w:val="left"/>
    </w:pPr>
    <w:rPr>
      <w:rFonts w:ascii="宋体" w:hAnsi="宋体"/>
      <w:sz w:val="24"/>
      <w:szCs w:val="24"/>
    </w:rPr>
  </w:style>
  <w:style w:type="paragraph" w:customStyle="1" w:styleId="338">
    <w:name w:val="Default"/>
    <w:qFormat/>
    <w:uiPriority w:val="0"/>
    <w:pPr>
      <w:widowControl w:val="0"/>
    </w:pPr>
    <w:rPr>
      <w:rFonts w:hint="default" w:ascii="仿宋" w:hAnsi="Times New Roman" w:eastAsia="仿宋" w:cs="Times New Roman"/>
      <w:color w:val="000000"/>
      <w:sz w:val="24"/>
      <w:szCs w:val="24"/>
      <w:lang w:val="en-US" w:eastAsia="zh-CN" w:bidi="ar-SA"/>
    </w:rPr>
  </w:style>
  <w:style w:type="paragraph" w:customStyle="1" w:styleId="339">
    <w:name w:val="列出段落2"/>
    <w:basedOn w:val="3"/>
    <w:next w:val="3"/>
    <w:qFormat/>
    <w:uiPriority w:val="0"/>
    <w:pPr>
      <w:ind w:firstLine="420"/>
    </w:pPr>
    <w:rPr>
      <w:sz w:val="24"/>
      <w:szCs w:val="24"/>
    </w:rPr>
  </w:style>
  <w:style w:type="paragraph" w:customStyle="1" w:styleId="340">
    <w:name w:val="reader-word-layer reader-word-s45-7"/>
    <w:basedOn w:val="3"/>
    <w:qFormat/>
    <w:uiPriority w:val="0"/>
    <w:pPr>
      <w:widowControl/>
      <w:spacing w:before="100" w:beforeAutospacing="1" w:after="100" w:afterAutospacing="1"/>
      <w:jc w:val="left"/>
    </w:pPr>
    <w:rPr>
      <w:rFonts w:ascii="宋体" w:hAnsi="宋体"/>
      <w:sz w:val="24"/>
      <w:szCs w:val="24"/>
    </w:rPr>
  </w:style>
  <w:style w:type="paragraph" w:customStyle="1" w:styleId="341">
    <w:name w:val="Char"/>
    <w:basedOn w:val="3"/>
    <w:qFormat/>
    <w:uiPriority w:val="0"/>
    <w:pPr>
      <w:tabs>
        <w:tab w:val="left" w:pos="840"/>
      </w:tabs>
      <w:ind w:left="840" w:hanging="420"/>
    </w:pPr>
    <w:rPr>
      <w:sz w:val="24"/>
      <w:szCs w:val="24"/>
    </w:rPr>
  </w:style>
  <w:style w:type="paragraph" w:customStyle="1" w:styleId="342">
    <w:name w:val="Char1 Char Char Char Char Char Char"/>
    <w:basedOn w:val="3"/>
    <w:qFormat/>
    <w:uiPriority w:val="0"/>
    <w:rPr>
      <w:rFonts w:ascii="Tahoma" w:hAnsi="Tahoma"/>
      <w:sz w:val="24"/>
      <w:szCs w:val="20"/>
    </w:rPr>
  </w:style>
  <w:style w:type="paragraph" w:customStyle="1" w:styleId="343">
    <w:name w:val="首行缩进"/>
    <w:qFormat/>
    <w:uiPriority w:val="0"/>
    <w:pPr>
      <w:widowControl w:val="0"/>
      <w:spacing w:line="360" w:lineRule="auto"/>
      <w:ind w:firstLine="480"/>
      <w:jc w:val="both"/>
    </w:pPr>
    <w:rPr>
      <w:rFonts w:hint="default" w:ascii="Times New Roman" w:hAnsi="Times New Roman" w:eastAsia="微软雅黑" w:cs="Times New Roman"/>
      <w:sz w:val="24"/>
      <w:szCs w:val="22"/>
      <w:lang w:val="zh-CN" w:eastAsia="zh-CN" w:bidi="ar-SA"/>
    </w:rPr>
  </w:style>
  <w:style w:type="paragraph" w:customStyle="1" w:styleId="344">
    <w:name w:val="文档正文"/>
    <w:basedOn w:val="3"/>
    <w:qFormat/>
    <w:uiPriority w:val="0"/>
    <w:pPr>
      <w:ind w:firstLine="567"/>
    </w:pPr>
    <w:rPr>
      <w:rFonts w:ascii="长城仿宋" w:hAnsi="Calibri" w:eastAsia="长城仿宋"/>
      <w:sz w:val="28"/>
    </w:rPr>
  </w:style>
  <w:style w:type="paragraph" w:customStyle="1" w:styleId="345">
    <w:name w:val="样式 四号 行距: 1.5 倍行距 首行缩进:  2 字符"/>
    <w:qFormat/>
    <w:uiPriority w:val="0"/>
    <w:pPr>
      <w:spacing w:line="360" w:lineRule="auto"/>
      <w:ind w:firstLine="560"/>
    </w:pPr>
    <w:rPr>
      <w:rFonts w:hint="default" w:ascii="Times New Roman" w:hAnsi="Times New Roman" w:eastAsia="宋体" w:cs="Times New Roman"/>
      <w:sz w:val="24"/>
      <w:lang w:val="en-US" w:eastAsia="zh-CN" w:bidi="ar-SA"/>
    </w:rPr>
  </w:style>
  <w:style w:type="paragraph" w:customStyle="1" w:styleId="346">
    <w:name w:val="LD正文"/>
    <w:basedOn w:val="3"/>
    <w:qFormat/>
    <w:uiPriority w:val="0"/>
    <w:pPr>
      <w:spacing w:line="360" w:lineRule="auto"/>
      <w:ind w:firstLine="200"/>
      <w:jc w:val="left"/>
    </w:pPr>
    <w:rPr>
      <w:color w:val="0000FF"/>
      <w:sz w:val="24"/>
      <w:szCs w:val="21"/>
    </w:rPr>
  </w:style>
  <w:style w:type="paragraph" w:customStyle="1" w:styleId="347">
    <w:name w:val="a0"/>
    <w:basedOn w:val="3"/>
    <w:qFormat/>
    <w:uiPriority w:val="0"/>
    <w:pPr>
      <w:widowControl/>
      <w:spacing w:before="100" w:beforeAutospacing="1" w:after="100" w:afterAutospacing="1"/>
    </w:pPr>
    <w:rPr>
      <w:rFonts w:eastAsia="Times New Roman"/>
      <w:sz w:val="24"/>
      <w:szCs w:val="24"/>
    </w:rPr>
  </w:style>
  <w:style w:type="paragraph" w:customStyle="1" w:styleId="348">
    <w:name w:val="reader-word-layer reader-word-s45-11"/>
    <w:basedOn w:val="3"/>
    <w:qFormat/>
    <w:uiPriority w:val="0"/>
    <w:pPr>
      <w:widowControl/>
      <w:spacing w:before="100" w:beforeAutospacing="1" w:after="100" w:afterAutospacing="1"/>
      <w:jc w:val="left"/>
    </w:pPr>
    <w:rPr>
      <w:rFonts w:ascii="宋体" w:hAnsi="宋体"/>
      <w:sz w:val="24"/>
      <w:szCs w:val="24"/>
    </w:rPr>
  </w:style>
  <w:style w:type="paragraph" w:customStyle="1" w:styleId="349">
    <w:name w:val="List Paragraph1"/>
    <w:basedOn w:val="3"/>
    <w:qFormat/>
    <w:uiPriority w:val="0"/>
    <w:pPr>
      <w:ind w:firstLine="420"/>
    </w:pPr>
  </w:style>
  <w:style w:type="paragraph" w:customStyle="1" w:styleId="350">
    <w:name w:val="Normal Indent1"/>
    <w:basedOn w:val="3"/>
    <w:qFormat/>
    <w:uiPriority w:val="0"/>
    <w:pPr>
      <w:ind w:firstLine="420"/>
    </w:pPr>
    <w:rPr>
      <w:sz w:val="20"/>
      <w:szCs w:val="20"/>
    </w:rPr>
  </w:style>
  <w:style w:type="character" w:customStyle="1" w:styleId="351">
    <w:name w:val="active15"/>
    <w:basedOn w:val="45"/>
    <w:qFormat/>
    <w:uiPriority w:val="0"/>
    <w:rPr>
      <w:color w:val="FFFFFF"/>
      <w:shd w:val="clear" w:color="auto" w:fill="0F5BB9"/>
    </w:rPr>
  </w:style>
  <w:style w:type="character" w:customStyle="1" w:styleId="352">
    <w:name w:val="font01"/>
    <w:basedOn w:val="45"/>
    <w:qFormat/>
    <w:uiPriority w:val="0"/>
    <w:rPr>
      <w:rFonts w:hint="eastAsia" w:ascii="宋体" w:hAnsi="宋体" w:eastAsia="宋体" w:cs="宋体"/>
      <w:color w:val="000000"/>
      <w:sz w:val="22"/>
      <w:szCs w:val="22"/>
      <w:u w:val="none"/>
    </w:rPr>
  </w:style>
  <w:style w:type="character" w:customStyle="1" w:styleId="353">
    <w:name w:val="font41"/>
    <w:basedOn w:val="45"/>
    <w:qFormat/>
    <w:uiPriority w:val="0"/>
    <w:rPr>
      <w:rFonts w:hint="eastAsia" w:ascii="宋体" w:hAnsi="宋体" w:eastAsia="宋体" w:cs="宋体"/>
      <w:color w:val="000000"/>
      <w:sz w:val="22"/>
      <w:szCs w:val="22"/>
      <w:u w:val="none"/>
    </w:rPr>
  </w:style>
  <w:style w:type="character" w:customStyle="1" w:styleId="354">
    <w:name w:val="font21"/>
    <w:basedOn w:val="45"/>
    <w:qFormat/>
    <w:uiPriority w:val="0"/>
    <w:rPr>
      <w:rFonts w:hint="eastAsia" w:ascii="宋体" w:hAnsi="宋体" w:eastAsia="宋体" w:cs="宋体"/>
      <w:color w:val="FF0000"/>
      <w:sz w:val="22"/>
      <w:szCs w:val="22"/>
      <w:u w:val="none"/>
    </w:rPr>
  </w:style>
  <w:style w:type="character" w:customStyle="1" w:styleId="355">
    <w:name w:val="批注框文本 Char1"/>
    <w:basedOn w:val="45"/>
    <w:link w:val="30"/>
    <w:semiHidden/>
    <w:qFormat/>
    <w:uiPriority w:val="99"/>
    <w:rPr>
      <w:sz w:val="18"/>
      <w:szCs w:val="18"/>
    </w:rPr>
  </w:style>
  <w:style w:type="paragraph" w:customStyle="1" w:styleId="356">
    <w:name w:val="普通正文"/>
    <w:basedOn w:val="1"/>
    <w:qFormat/>
    <w:uiPriority w:val="0"/>
    <w:pPr>
      <w:spacing w:before="120" w:after="120" w:line="360" w:lineRule="auto"/>
      <w:ind w:firstLine="480"/>
      <w:jc w:val="left"/>
    </w:pPr>
    <w:rPr>
      <w:rFonts w:ascii="Arial" w:hAnsi="Arial"/>
      <w:sz w:val="24"/>
      <w:szCs w:val="24"/>
    </w:rPr>
  </w:style>
  <w:style w:type="paragraph" w:customStyle="1" w:styleId="357">
    <w:name w:val="普通(网站)_0"/>
    <w:basedOn w:val="358"/>
    <w:qFormat/>
    <w:uiPriority w:val="0"/>
    <w:pPr>
      <w:widowControl/>
      <w:spacing w:before="100" w:beforeAutospacing="1" w:after="100" w:afterAutospacing="1"/>
      <w:jc w:val="left"/>
    </w:pPr>
    <w:rPr>
      <w:rFonts w:ascii="宋体" w:hAnsi="宋体" w:eastAsia="等线" w:cs="宋体"/>
      <w:color w:val="000000"/>
      <w:sz w:val="24"/>
    </w:rPr>
  </w:style>
  <w:style w:type="paragraph" w:customStyle="1" w:styleId="358">
    <w:name w:val="正文_0"/>
    <w:next w:val="35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59">
    <w:name w:val="标题 2_0"/>
    <w:basedOn w:val="358"/>
    <w:next w:val="358"/>
    <w:qFormat/>
    <w:uiPriority w:val="0"/>
    <w:pPr>
      <w:keepNext/>
      <w:keepLines/>
      <w:spacing w:before="260" w:after="260" w:line="416" w:lineRule="auto"/>
      <w:jc w:val="center"/>
      <w:outlineLvl w:val="1"/>
    </w:pPr>
    <w:rPr>
      <w:rFonts w:ascii="幼圆" w:hAnsi="Arial" w:eastAsia="楷体_GB2312"/>
      <w:b/>
      <w:sz w:val="44"/>
      <w:szCs w:val="20"/>
    </w:rPr>
  </w:style>
  <w:style w:type="paragraph" w:customStyle="1" w:styleId="360">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1320</Words>
  <Characters>1496</Characters>
  <TotalTime>112</TotalTime>
  <ScaleCrop>false</ScaleCrop>
  <LinksUpToDate>false</LinksUpToDate>
  <CharactersWithSpaces>1533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2022-12-21T10:57:00Z</dcterms:created>
  <dc:creator>Zhou</dc:creator>
  <cp:lastModifiedBy>Administrator</cp:lastModifiedBy>
  <cp:lastPrinted>2024-11-21T11:11:00Z</cp:lastPrinted>
  <dcterms:modified xsi:type="dcterms:W3CDTF">2024-11-28T08:20:52Z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C5D9212C9A1241549A4F2D55161F8015_13</vt:lpwstr>
  </property>
</Properties>
</file>